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B357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uto"/>
        <w:ind w:firstLine="567"/>
        <w:jc w:val="center"/>
        <w:rPr>
          <w:rFonts w:asciiTheme="majorHAnsi" w:hAnsiTheme="majorHAnsi" w:cstheme="majorHAnsi"/>
          <w:color w:val="404040" w:themeColor="text1" w:themeTint="BF"/>
          <w:sz w:val="25"/>
          <w:szCs w:val="25"/>
        </w:rPr>
      </w:pPr>
      <w:r>
        <w:rPr>
          <w:rFonts w:asciiTheme="majorHAnsi" w:hAnsiTheme="majorHAnsi" w:cstheme="majorHAnsi"/>
          <w:color w:val="404040" w:themeColor="text1" w:themeTint="BF"/>
          <w:sz w:val="25"/>
          <w:szCs w:val="25"/>
        </w:rPr>
        <w:t xml:space="preserve">Программа технической и сервисной поддержки продуктов 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  <w:lang w:val="en-US"/>
        </w:rPr>
        <w:t>AppSec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</w:rPr>
        <w:t>.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  <w:lang w:val="en-US"/>
        </w:rPr>
        <w:t>Hub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</w:rPr>
        <w:t xml:space="preserve">, 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  <w:lang w:val="en-US"/>
        </w:rPr>
        <w:t>AppSec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</w:rPr>
        <w:t>.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  <w:lang w:val="en-US"/>
        </w:rPr>
        <w:t>Track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</w:rPr>
        <w:t xml:space="preserve">, 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  <w:lang w:val="en-US"/>
        </w:rPr>
        <w:t>AppSec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</w:rPr>
        <w:t>.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  <w:lang w:val="en-US"/>
        </w:rPr>
        <w:t>Code</w:t>
      </w:r>
      <w:r>
        <w:rPr>
          <w:rFonts w:asciiTheme="majorHAnsi" w:hAnsiTheme="majorHAnsi" w:cstheme="majorHAnsi"/>
          <w:color w:val="404040" w:themeColor="text1" w:themeTint="BF"/>
          <w:sz w:val="25"/>
          <w:szCs w:val="25"/>
        </w:rPr>
        <w:t xml:space="preserve">, </w:t>
      </w:r>
      <w:proofErr w:type="spellStart"/>
      <w:r>
        <w:rPr>
          <w:rFonts w:asciiTheme="majorHAnsi" w:hAnsiTheme="majorHAnsi" w:cstheme="majorHAnsi"/>
          <w:color w:val="404040" w:themeColor="text1" w:themeTint="BF"/>
          <w:sz w:val="25"/>
          <w:szCs w:val="25"/>
        </w:rPr>
        <w:t>Стингрей</w:t>
      </w:r>
      <w:proofErr w:type="spellEnd"/>
    </w:p>
    <w:p w14:paraId="5975DD8E" w14:textId="77777777" w:rsidR="003A091A" w:rsidRPr="000054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uto"/>
        <w:jc w:val="both"/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  <w:lang w:val="en-US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  <w:t>Термины и определения</w:t>
      </w:r>
    </w:p>
    <w:p w14:paraId="19C17F55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Продукт</w:t>
      </w:r>
      <w:r>
        <w:rPr>
          <w:rFonts w:ascii="Open Sans" w:hAnsi="Open Sans" w:cs="Open Sans"/>
          <w:b/>
          <w:color w:val="404040" w:themeColor="text1" w:themeTint="BF"/>
          <w:sz w:val="20"/>
          <w:szCs w:val="20"/>
        </w:rPr>
        <w:t xml:space="preserve"> 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>– программное обеспечение от правообладателей ООО «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0"/>
        </w:rPr>
        <w:t>Стингрей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0"/>
        </w:rPr>
        <w:t>Технолоджиз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>», ООО «СВОРДФИШ СЕКЬЮРИТИ», ООО "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0"/>
        </w:rPr>
        <w:t>АппСек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> 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0"/>
        </w:rPr>
        <w:t>Солюшенс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>".</w:t>
      </w:r>
    </w:p>
    <w:p w14:paraId="2F3EA530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right="-142"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Пользователь</w:t>
      </w:r>
      <w:r>
        <w:rPr>
          <w:rFonts w:ascii="Open Sans" w:hAnsi="Open Sans" w:cs="Open Sans"/>
          <w:b/>
          <w:bCs/>
          <w:color w:val="404040" w:themeColor="text1" w:themeTint="BF"/>
          <w:sz w:val="20"/>
          <w:szCs w:val="20"/>
        </w:rPr>
        <w:t xml:space="preserve"> 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>– лицо, которое использует Продукт для выполнения конкретной функции. Например: разработчик или ИБ инженер, который создает и/или участвует в создании кода, файлов конфигурации, образов контейнеров и/или экземпляров приложений в средах разработки программного обеспечения.</w:t>
      </w:r>
    </w:p>
    <w:p w14:paraId="1153FCF4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Лицензия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простая (неисключительная) лицензия на право пользования Продуктом и его обновлениями.</w:t>
      </w:r>
    </w:p>
    <w:p w14:paraId="5E1BE04D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Исполнитель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специалист, который занимается обслуживанием и поддержкой технических систем, сервисов и проектов от лица ООО "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0"/>
        </w:rPr>
        <w:t>АппСек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> 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0"/>
        </w:rPr>
        <w:t>Солюшенс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" (ОГРН 1187746612030). </w:t>
      </w:r>
    </w:p>
    <w:p w14:paraId="6E78C4A2" w14:textId="328648E0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Коммуникация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процесс передачи информации от одного человека к другому по разным каналам связи (при выборе расширенной и премиальной сервисной поддержки: </w:t>
      </w:r>
      <w:r w:rsidR="00A20983">
        <w:rPr>
          <w:rFonts w:ascii="Open Sans" w:hAnsi="Open Sans" w:cs="Open Sans"/>
          <w:color w:val="404040" w:themeColor="text1" w:themeTint="BF"/>
          <w:sz w:val="20"/>
          <w:szCs w:val="20"/>
          <w:lang w:val="en-US"/>
        </w:rPr>
        <w:t>telegram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0"/>
        </w:rPr>
        <w:t>mattermost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>) посредством общей системы знаков.</w:t>
      </w:r>
    </w:p>
    <w:p w14:paraId="2A1C72D0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Выделенный канал коммуникации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путь, способ передачи сообщения для поддержания коммуникационной деятельности, предназначенный исключительно для использования одной организацией, посредством сети интернет.</w:t>
      </w:r>
    </w:p>
    <w:p w14:paraId="206D6810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Mattermost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приложение для обмена мгновенными сообщениями с открытым исходным кодом с возможностью обмена файлами.</w:t>
      </w:r>
    </w:p>
    <w:p w14:paraId="203DE0C4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Выделенный менеджер сопровождения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выделенный специалист компании вендора, отвечающий за процесс оптимизации, улучшения и непрерывного совершенствования бизнес-процессов лицензиата и лицензиара.  </w:t>
      </w:r>
    </w:p>
    <w:p w14:paraId="00E48677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 xml:space="preserve">Выделенный </w:t>
      </w:r>
      <w:proofErr w:type="spellStart"/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service</w:t>
      </w:r>
      <w:proofErr w:type="spellEnd"/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desk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онлайн-сервис, являющийся частью службы технической поддержки, предоставляющийся Пользователю для фиксирования и отправки запросов (инцидентов и запросов на улучшение продукта), предназначен для автоматизации процессов.</w:t>
      </w:r>
    </w:p>
    <w:p w14:paraId="5A072CBD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Дежурный инженер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сотрудник, являющийся специалистом 2 линии технической поддержки, и обеспечивающий работоспособность купленного продукта / лицензии.</w:t>
      </w:r>
    </w:p>
    <w:p w14:paraId="685829FE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lastRenderedPageBreak/>
        <w:t>Повышенный приоритет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повышение Приоритетности обращения в независимости от типа критичности обращения, в соответствии с SLA. Действует для компаний, которые приобрели сертификат премиальной сервисной поддержки.  </w:t>
      </w:r>
    </w:p>
    <w:p w14:paraId="194FD662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Возможность оперативного исправления обнаруженной ошибки</w:t>
      </w:r>
      <w:r>
        <w:rPr>
          <w:rFonts w:ascii="Open Sans" w:hAnsi="Open Sans" w:cs="Open Sans"/>
          <w:b/>
          <w:bCs/>
          <w:color w:val="404040" w:themeColor="text1" w:themeTint="BF"/>
          <w:sz w:val="20"/>
          <w:szCs w:val="20"/>
        </w:rPr>
        <w:t xml:space="preserve"> – 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это процесс срочного исправления ошибок и недоработок приобретенного программного обеспечения, выявленных в процессе эксплуатации. </w:t>
      </w:r>
    </w:p>
    <w:p w14:paraId="26E030AA" w14:textId="4EDFC6BD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 xml:space="preserve">Возможность влиять на продуктовый </w:t>
      </w:r>
      <w:proofErr w:type="spellStart"/>
      <w:r w:rsidR="002A7CFA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бэклог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– персональное обсуждение в формате встречи онлайн или оффлайн, учет и сопоставление с продуктовым </w:t>
      </w:r>
      <w:proofErr w:type="spellStart"/>
      <w:r w:rsidR="002A7CFA">
        <w:rPr>
          <w:rFonts w:ascii="Open Sans" w:hAnsi="Open Sans" w:cs="Open Sans"/>
          <w:color w:val="404040" w:themeColor="text1" w:themeTint="BF"/>
          <w:sz w:val="20"/>
          <w:szCs w:val="20"/>
        </w:rPr>
        <w:t>бэклог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>ом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продукта: пользовательских историй, инцидентов - рассмотрение для будущего или потенциального изменения продукта</w:t>
      </w:r>
      <w:r w:rsidR="00A86E68">
        <w:rPr>
          <w:rFonts w:ascii="Open Sans" w:hAnsi="Open Sans" w:cs="Open Sans"/>
          <w:color w:val="404040" w:themeColor="text1" w:themeTint="BF"/>
          <w:sz w:val="20"/>
          <w:szCs w:val="20"/>
        </w:rPr>
        <w:t>. О</w:t>
      </w:r>
      <w:r w:rsidR="00A86E68" w:rsidRPr="00A86E68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бсуждение и </w:t>
      </w:r>
      <w:proofErr w:type="spellStart"/>
      <w:r w:rsidR="00A86E68" w:rsidRPr="00A86E68">
        <w:rPr>
          <w:rFonts w:ascii="Open Sans" w:hAnsi="Open Sans" w:cs="Open Sans"/>
          <w:color w:val="404040" w:themeColor="text1" w:themeTint="BF"/>
          <w:sz w:val="20"/>
          <w:szCs w:val="20"/>
        </w:rPr>
        <w:t>приоритизация</w:t>
      </w:r>
      <w:proofErr w:type="spellEnd"/>
      <w:r w:rsidR="00A86E68" w:rsidRPr="00A86E68">
        <w:rPr>
          <w:rFonts w:ascii="Open Sans" w:hAnsi="Open Sans" w:cs="Open Sans"/>
          <w:color w:val="404040" w:themeColor="text1" w:themeTint="BF"/>
          <w:sz w:val="20"/>
          <w:szCs w:val="20"/>
        </w:rPr>
        <w:t>, но не гарантия реализации.</w:t>
      </w:r>
    </w:p>
    <w:p w14:paraId="7F5C52D5" w14:textId="425F7E8E" w:rsidR="003A091A" w:rsidRPr="002A7CFA" w:rsidRDefault="00000000" w:rsidP="002A7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Коммуникация с продуктовой командой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- диалог для создания эффективной и продуктивной среды, подразумевает взаимодействие, при котором команда продукта рассматривается как независимый поставщик решений. Такой подход способствует более структурированному и профессиональному обмену информацией, что позволяет эффективно управлять процессом разработки и улучшать конечный продукт.</w:t>
      </w:r>
    </w:p>
    <w:p w14:paraId="2734848E" w14:textId="77777777" w:rsidR="002A7CFA" w:rsidRDefault="002A7CFA">
      <w:pPr>
        <w:spacing w:after="160" w:line="259" w:lineRule="auto"/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  <w:br w:type="page"/>
      </w:r>
    </w:p>
    <w:p w14:paraId="13E2AB2C" w14:textId="5F464E3E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  <w:jc w:val="both"/>
        <w:rPr>
          <w:rFonts w:ascii="Open Sans" w:hAnsi="Open Sans" w:cs="Open Sans"/>
          <w:color w:val="404040" w:themeColor="text1" w:themeTint="BF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  <w:lastRenderedPageBreak/>
        <w:t>Базовая техническая поддержка</w:t>
      </w:r>
      <w:r>
        <w:rPr>
          <w:rFonts w:ascii="Open Sans" w:hAnsi="Open Sans" w:cs="Open Sans"/>
          <w:b/>
          <w:bCs/>
          <w:color w:val="404040" w:themeColor="text1" w:themeTint="BF"/>
          <w:sz w:val="21"/>
          <w:szCs w:val="21"/>
        </w:rPr>
        <w:t xml:space="preserve"> </w:t>
      </w:r>
      <w:r>
        <w:rPr>
          <w:rFonts w:ascii="Open Sans" w:hAnsi="Open Sans" w:cs="Open Sans"/>
          <w:color w:val="404040" w:themeColor="text1" w:themeTint="BF"/>
          <w:sz w:val="21"/>
          <w:szCs w:val="21"/>
        </w:rPr>
        <w:t>(входит в стоимость Лицензии).</w:t>
      </w:r>
    </w:p>
    <w:p w14:paraId="79CD6FDA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Целью технической поддержки является обеспечение корректного развертывания Продукта в инфраструктуре Пользователя, а также отказоустойчивости и стабильной работы Продукта в период действия лицензионного соглашения, предоставляемых правообладателем Продукта. В рамках технической поддержки предоставляется доступ к обновлениям ПО в рамках одной и той же базовой версии ПО, в соответствии с перечнем приобретаемого ПО.</w:t>
      </w:r>
    </w:p>
    <w:p w14:paraId="5948F93A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Время от момента получения запроса от Пользователя до начала работы над запросом, а также время обслуживания запроса определяется уровнем приоритета и включает в себя:</w:t>
      </w:r>
    </w:p>
    <w:p w14:paraId="5F8E09CC" w14:textId="77777777" w:rsidR="003A091A" w:rsidRDefault="00000000">
      <w:pPr>
        <w:pStyle w:val="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360" w:lineRule="auto"/>
        <w:contextualSpacing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Регистрацию запроса Пользователя в Системе технической поддержки с присвоением запросу уникального регистрационного номера;</w:t>
      </w:r>
    </w:p>
    <w:p w14:paraId="671ACE3E" w14:textId="77777777" w:rsidR="003A091A" w:rsidRDefault="00000000">
      <w:pPr>
        <w:pStyle w:val="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360" w:lineRule="auto"/>
        <w:contextualSpacing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Анализ и классификацию запроса; </w:t>
      </w:r>
    </w:p>
    <w:p w14:paraId="0A671963" w14:textId="77777777" w:rsidR="003A091A" w:rsidRDefault="00000000">
      <w:pPr>
        <w:pStyle w:val="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360" w:lineRule="auto"/>
        <w:contextualSpacing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Online-поддержка c 09:00 до 18:00 в будние дни по московскому времени для запросов.</w:t>
      </w:r>
    </w:p>
    <w:p w14:paraId="30459DEB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Критическая ошибка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- Уровень «Высший» присваивается запросу в случае, если Продукт переходит в аварийное (нерабочее) состояние, не позволяющее проводить с ее помощью какие-либо работы (при условии абсолютного отсутствия возможности выполнения указанных операций средствами Продукта). Срок решения 5 рабочих дней с момента получения заявки Пользователя. </w:t>
      </w:r>
    </w:p>
    <w:p w14:paraId="79C807A0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Существенная ошибка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- Уровень «Средний» присваивается запросу в случае, если Продукт переходит в аварийное (нерабочее) состояние, не позволяющее проводить с ее помощью часть каких-либо работ, или возникает сбой, приводящий к последствиям, не позволяющим Пользователю выполнять критичные для бизнеса работы (при условии абсолютного отсутствия возможности выполнения указанных операций в рамках Продукта). Срок решения 8 рабочих дней с момента получения заявки Пользователя.</w:t>
      </w:r>
    </w:p>
    <w:p w14:paraId="09D97B5E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t>Несущественная ошибка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- Уровень «Низкий» присваивается запросу в случае, если возникает сбой, приводящий к последствиям, не позволяющим Пользователю выполнять критичные для бизнеса работы стандартными предусмотренными Продуктом способами, при условии наличия возможности выполнения указанных операций используя иные доступные средства и возможности Продукта. Срок решения согласно плану релиза продукта.</w:t>
      </w:r>
    </w:p>
    <w:p w14:paraId="775E6A89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Реакция Исполнителя подразумевает ответ Пользователю на Заявку на адрес электронной почты, с которого была оформлена Заявка.</w:t>
      </w:r>
    </w:p>
    <w:p w14:paraId="7C29FC1B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При обнаружении проблемы Пользователь направляет Исполнителю по электронной почте (</w:t>
      </w:r>
      <w:hyperlink r:id="rId8" w:tooltip="mailto:support@swordfishsecurity.ru" w:history="1">
        <w:r>
          <w:rPr>
            <w:rFonts w:ascii="Open Sans" w:hAnsi="Open Sans" w:cs="Open Sans"/>
            <w:color w:val="404040" w:themeColor="text1" w:themeTint="BF"/>
            <w:sz w:val="20"/>
            <w:szCs w:val="20"/>
          </w:rPr>
          <w:t>support@appsec.global</w:t>
        </w:r>
      </w:hyperlink>
      <w:r>
        <w:rPr>
          <w:rFonts w:ascii="Open Sans" w:hAnsi="Open Sans" w:cs="Open Sans"/>
          <w:color w:val="404040" w:themeColor="text1" w:themeTint="BF"/>
          <w:sz w:val="20"/>
          <w:szCs w:val="20"/>
        </w:rPr>
        <w:t>) с корпоративного почтового ящика Заявку, содержащую следующую информацию о проблеме:</w:t>
      </w:r>
    </w:p>
    <w:p w14:paraId="71B99F34" w14:textId="77777777" w:rsidR="003A091A" w:rsidRDefault="00000000">
      <w:pPr>
        <w:pStyle w:val="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360" w:lineRule="auto"/>
        <w:ind w:left="851" w:hanging="284"/>
        <w:contextualSpacing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lastRenderedPageBreak/>
        <w:t>Приоритет проблемы в соответствии с перечнем в Таблице;</w:t>
      </w:r>
    </w:p>
    <w:p w14:paraId="791D706B" w14:textId="77777777" w:rsidR="003A091A" w:rsidRDefault="00000000">
      <w:pPr>
        <w:pStyle w:val="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360" w:lineRule="auto"/>
        <w:ind w:left="851" w:hanging="284"/>
        <w:contextualSpacing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Подробное описанием проблемы (включая коды ошибок, текст сообщения ошибок, описание обстоятельств, при которых возникает проблема и файлы журналов ошибок, снимки экрана с текстом сообщения об ошибках);</w:t>
      </w:r>
    </w:p>
    <w:p w14:paraId="796EB3AD" w14:textId="77777777" w:rsidR="003A091A" w:rsidRDefault="00000000">
      <w:pPr>
        <w:pStyle w:val="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360" w:lineRule="auto"/>
        <w:ind w:left="851" w:hanging="284"/>
        <w:contextualSpacing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Инструкции, обеспечивающие ее воспроизведение/демонстрацию на стендах Исполнителя (предоставляется по возможности).</w:t>
      </w:r>
    </w:p>
    <w:p w14:paraId="26EFE8F6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При поступлении от Пользователя Заявки с описанием проблемы и предоставлении всех необходимых материалов, запрошенных сотрудником Поддержки, Исполнитель регистрирует Заявку в течение времени, определенного приоритетом Заявки, и предоставляет Пользователю отчет о статусе Заявки. Время реакции Исполнителя на Заявку и частота предоставления Пользователю отчета зависит от подтвержденного Исполнителем приоритета Заявки.</w:t>
      </w:r>
    </w:p>
    <w:p w14:paraId="5CC8FB9C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Приоритет Заявки определяет скорость первоначальной реакции Исполнителя на Заявку, скорость обработки Заявки по сравнению с прочими другими заявками, которыми занимается в данный момент Служба технического сопровождения Исполнителя, частоту информирования Исполнителем Пользователя о ходе работ над Заявкой.</w:t>
      </w:r>
    </w:p>
    <w:p w14:paraId="25696C23" w14:textId="77777777" w:rsidR="003A091A" w:rsidRDefault="00000000">
      <w:pPr>
        <w:pStyle w:val="aff7"/>
        <w:spacing w:before="0" w:beforeAutospacing="0" w:after="240" w:afterAutospacing="0"/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  <w:t>Время реакции в Базовой технической поддержке:</w:t>
      </w:r>
    </w:p>
    <w:tbl>
      <w:tblPr>
        <w:tblStyle w:val="afa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1842"/>
        <w:gridCol w:w="2410"/>
        <w:gridCol w:w="2688"/>
      </w:tblGrid>
      <w:tr w:rsidR="003A091A" w14:paraId="4973FD28" w14:textId="77777777">
        <w:trPr>
          <w:trHeight w:val="443"/>
          <w:jc w:val="center"/>
        </w:trPr>
        <w:tc>
          <w:tcPr>
            <w:tcW w:w="3256" w:type="dxa"/>
            <w:vAlign w:val="center"/>
          </w:tcPr>
          <w:p w14:paraId="586633BC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Описание инцидента</w:t>
            </w:r>
          </w:p>
        </w:tc>
        <w:tc>
          <w:tcPr>
            <w:tcW w:w="1842" w:type="dxa"/>
            <w:vAlign w:val="center"/>
          </w:tcPr>
          <w:p w14:paraId="63DB95E7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Приоритет</w:t>
            </w:r>
          </w:p>
        </w:tc>
        <w:tc>
          <w:tcPr>
            <w:tcW w:w="2410" w:type="dxa"/>
            <w:vAlign w:val="center"/>
          </w:tcPr>
          <w:p w14:paraId="7A129A41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Срок реакции на заявку</w:t>
            </w:r>
          </w:p>
        </w:tc>
        <w:tc>
          <w:tcPr>
            <w:tcW w:w="2688" w:type="dxa"/>
            <w:vAlign w:val="center"/>
          </w:tcPr>
          <w:p w14:paraId="36B49990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Срок решения проблемы</w:t>
            </w:r>
          </w:p>
        </w:tc>
      </w:tr>
      <w:tr w:rsidR="003A091A" w14:paraId="7F8B9D01" w14:textId="77777777">
        <w:trPr>
          <w:jc w:val="center"/>
        </w:trPr>
        <w:tc>
          <w:tcPr>
            <w:tcW w:w="3256" w:type="dxa"/>
            <w:vAlign w:val="center"/>
          </w:tcPr>
          <w:p w14:paraId="01C3CB31" w14:textId="77777777" w:rsidR="003A091A" w:rsidRDefault="00000000">
            <w:pPr>
              <w:pStyle w:val="aff7"/>
              <w:spacing w:before="0" w:beforeAutospacing="0" w:after="0" w:afterAutospacing="0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Критическая ошибка</w:t>
            </w:r>
          </w:p>
          <w:p w14:paraId="4F56BA3E" w14:textId="77777777" w:rsidR="003A091A" w:rsidRDefault="00000000">
            <w:pPr>
              <w:pStyle w:val="aff7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 Ошибка, которая приводит к остановке функционирования Системы</w:t>
            </w:r>
          </w:p>
        </w:tc>
        <w:tc>
          <w:tcPr>
            <w:tcW w:w="1842" w:type="dxa"/>
            <w:vAlign w:val="center"/>
          </w:tcPr>
          <w:p w14:paraId="4D33B324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1 – высший</w:t>
            </w:r>
          </w:p>
        </w:tc>
        <w:tc>
          <w:tcPr>
            <w:tcW w:w="2410" w:type="dxa"/>
            <w:vAlign w:val="center"/>
          </w:tcPr>
          <w:p w14:paraId="536C5C05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8 рабочих часов</w:t>
            </w:r>
          </w:p>
          <w:p w14:paraId="7F1313E3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(1 отчет о статусе в день)</w:t>
            </w:r>
          </w:p>
        </w:tc>
        <w:tc>
          <w:tcPr>
            <w:tcW w:w="2688" w:type="dxa"/>
            <w:vAlign w:val="center"/>
          </w:tcPr>
          <w:p w14:paraId="19EEF722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5 рабочих дней</w:t>
            </w:r>
          </w:p>
        </w:tc>
      </w:tr>
      <w:tr w:rsidR="003A091A" w14:paraId="17EA1FDA" w14:textId="77777777">
        <w:trPr>
          <w:jc w:val="center"/>
        </w:trPr>
        <w:tc>
          <w:tcPr>
            <w:tcW w:w="3256" w:type="dxa"/>
            <w:vAlign w:val="center"/>
          </w:tcPr>
          <w:p w14:paraId="2A131E69" w14:textId="77777777" w:rsidR="003A091A" w:rsidRDefault="00000000">
            <w:pPr>
              <w:pStyle w:val="aff7"/>
              <w:spacing w:before="0" w:beforeAutospacing="0" w:after="0" w:afterAutospacing="0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Существенная ошибка</w:t>
            </w:r>
          </w:p>
          <w:p w14:paraId="3A825D1D" w14:textId="77777777" w:rsidR="003A091A" w:rsidRDefault="00000000">
            <w:pPr>
              <w:pStyle w:val="aff7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 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Ошибка, которая может привести к нарушению функционирования Системы, но допускает временное альтернативное решение</w:t>
            </w:r>
          </w:p>
        </w:tc>
        <w:tc>
          <w:tcPr>
            <w:tcW w:w="1842" w:type="dxa"/>
            <w:vAlign w:val="center"/>
          </w:tcPr>
          <w:p w14:paraId="363AF980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2 – средний</w:t>
            </w:r>
          </w:p>
        </w:tc>
        <w:tc>
          <w:tcPr>
            <w:tcW w:w="2410" w:type="dxa"/>
            <w:vAlign w:val="center"/>
          </w:tcPr>
          <w:p w14:paraId="0F8286C9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16 рабочих часов </w:t>
            </w:r>
          </w:p>
          <w:p w14:paraId="1D7973FC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(1 отчет о статусе в день)</w:t>
            </w:r>
          </w:p>
        </w:tc>
        <w:tc>
          <w:tcPr>
            <w:tcW w:w="2688" w:type="dxa"/>
            <w:vAlign w:val="center"/>
          </w:tcPr>
          <w:p w14:paraId="57634F68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8 рабочих дней</w:t>
            </w:r>
          </w:p>
        </w:tc>
      </w:tr>
      <w:tr w:rsidR="003A091A" w14:paraId="62D7FA89" w14:textId="77777777">
        <w:trPr>
          <w:jc w:val="center"/>
        </w:trPr>
        <w:tc>
          <w:tcPr>
            <w:tcW w:w="3256" w:type="dxa"/>
            <w:vAlign w:val="center"/>
          </w:tcPr>
          <w:p w14:paraId="0BD4A439" w14:textId="77777777" w:rsidR="003A091A" w:rsidRDefault="00000000">
            <w:pPr>
              <w:pStyle w:val="aff7"/>
              <w:spacing w:before="0" w:beforeAutospacing="0" w:after="0" w:afterAutospacing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Несущественная ошибка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 </w:t>
            </w:r>
          </w:p>
          <w:p w14:paraId="77ACD0C2" w14:textId="77777777" w:rsidR="003A091A" w:rsidRDefault="00000000">
            <w:pPr>
              <w:pStyle w:val="aff7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Ошибка, которая может привести к несущественному нарушению функционированию Системы</w:t>
            </w:r>
          </w:p>
        </w:tc>
        <w:tc>
          <w:tcPr>
            <w:tcW w:w="1842" w:type="dxa"/>
            <w:vAlign w:val="center"/>
          </w:tcPr>
          <w:p w14:paraId="3BD18934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3 – низкий</w:t>
            </w:r>
          </w:p>
        </w:tc>
        <w:tc>
          <w:tcPr>
            <w:tcW w:w="5098" w:type="dxa"/>
            <w:gridSpan w:val="2"/>
            <w:vAlign w:val="center"/>
          </w:tcPr>
          <w:p w14:paraId="70896AED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Срок обработки запроса зависит от характера проблемы</w:t>
            </w:r>
          </w:p>
        </w:tc>
      </w:tr>
    </w:tbl>
    <w:p w14:paraId="12B33E1A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Для повышения уровня приоритетности запросов Пользователя, а также уровня его комфорта, при использовании решений </w:t>
      </w:r>
      <w:r>
        <w:rPr>
          <w:rFonts w:ascii="Open Sans" w:hAnsi="Open Sans" w:cs="Open Sans"/>
          <w:color w:val="404040" w:themeColor="text1" w:themeTint="BF"/>
          <w:sz w:val="20"/>
          <w:szCs w:val="20"/>
          <w:lang w:val="en-US"/>
        </w:rPr>
        <w:t>AppSec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</w:t>
      </w:r>
      <w:r>
        <w:rPr>
          <w:rFonts w:ascii="Open Sans" w:hAnsi="Open Sans" w:cs="Open Sans"/>
          <w:color w:val="404040" w:themeColor="text1" w:themeTint="BF"/>
          <w:sz w:val="20"/>
          <w:szCs w:val="20"/>
          <w:lang w:val="en-US"/>
        </w:rPr>
        <w:t>Solutions</w:t>
      </w:r>
      <w:r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и в коммуникациях с Правообладателем Продукта, возможно приобретение сертификатов сервисной поддержки. Основные отличия между базовой, расширенной и премиальной поддержкой указаны в таблице.</w:t>
      </w:r>
    </w:p>
    <w:p w14:paraId="5B4EFA09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  <w:lastRenderedPageBreak/>
        <w:t>Описание сервисов поддержки</w:t>
      </w:r>
    </w:p>
    <w:p w14:paraId="7FDB0837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426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>
        <w:rPr>
          <w:rFonts w:ascii="Open Sans" w:hAnsi="Open Sans" w:cs="Open Sans"/>
          <w:color w:val="404040" w:themeColor="text1" w:themeTint="BF"/>
          <w:sz w:val="20"/>
          <w:szCs w:val="20"/>
        </w:rPr>
        <w:t>Основные отличия между базовой технической поддержкой, расширенной и премиальной сервисной поддержкой указаны в таблице:</w:t>
      </w:r>
    </w:p>
    <w:tbl>
      <w:tblPr>
        <w:tblStyle w:val="afa"/>
        <w:tblW w:w="5000" w:type="pct"/>
        <w:jc w:val="center"/>
        <w:tblLook w:val="04A0" w:firstRow="1" w:lastRow="0" w:firstColumn="1" w:lastColumn="0" w:noHBand="0" w:noVBand="1"/>
      </w:tblPr>
      <w:tblGrid>
        <w:gridCol w:w="3124"/>
        <w:gridCol w:w="2243"/>
        <w:gridCol w:w="2347"/>
        <w:gridCol w:w="2482"/>
      </w:tblGrid>
      <w:tr w:rsidR="003A091A" w14:paraId="6E6524B5" w14:textId="77777777" w:rsidTr="00385BA2">
        <w:trPr>
          <w:trHeight w:val="594"/>
          <w:jc w:val="center"/>
        </w:trPr>
        <w:tc>
          <w:tcPr>
            <w:tcW w:w="3124" w:type="dxa"/>
            <w:vAlign w:val="center"/>
          </w:tcPr>
          <w:p w14:paraId="10D71F84" w14:textId="77777777" w:rsidR="003A091A" w:rsidRDefault="003A09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14:paraId="27E0D668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Базовая техническая поддержка</w:t>
            </w:r>
          </w:p>
        </w:tc>
        <w:tc>
          <w:tcPr>
            <w:tcW w:w="2347" w:type="dxa"/>
            <w:vAlign w:val="center"/>
          </w:tcPr>
          <w:p w14:paraId="778E2A3F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Расширенная сервисная поддержка</w:t>
            </w:r>
          </w:p>
        </w:tc>
        <w:tc>
          <w:tcPr>
            <w:tcW w:w="2482" w:type="dxa"/>
            <w:vAlign w:val="center"/>
          </w:tcPr>
          <w:p w14:paraId="23F7A441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Премиальная сервисная поддержка</w:t>
            </w:r>
          </w:p>
        </w:tc>
      </w:tr>
      <w:tr w:rsidR="003A091A" w14:paraId="1F2314CB" w14:textId="77777777" w:rsidTr="00385BA2">
        <w:trPr>
          <w:trHeight w:val="459"/>
          <w:jc w:val="center"/>
        </w:trPr>
        <w:tc>
          <w:tcPr>
            <w:tcW w:w="10196" w:type="dxa"/>
            <w:gridSpan w:val="4"/>
            <w:vAlign w:val="center"/>
          </w:tcPr>
          <w:p w14:paraId="393E1E74" w14:textId="2CC6BF54" w:rsidR="003A091A" w:rsidRDefault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Коммуникация | Сервис</w:t>
            </w:r>
          </w:p>
        </w:tc>
      </w:tr>
      <w:tr w:rsidR="00385BA2" w14:paraId="0B22BED9" w14:textId="77777777" w:rsidTr="00385BA2">
        <w:trPr>
          <w:jc w:val="center"/>
        </w:trPr>
        <w:tc>
          <w:tcPr>
            <w:tcW w:w="3124" w:type="dxa"/>
          </w:tcPr>
          <w:p w14:paraId="1FE1829E" w14:textId="1B310443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proofErr w:type="spellStart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support@appsec.global</w:t>
            </w:r>
            <w:proofErr w:type="spellEnd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 xml:space="preserve">  </w:t>
            </w:r>
          </w:p>
        </w:tc>
        <w:tc>
          <w:tcPr>
            <w:tcW w:w="2243" w:type="dxa"/>
            <w:vMerge w:val="restart"/>
            <w:vAlign w:val="center"/>
          </w:tcPr>
          <w:p w14:paraId="295CBD31" w14:textId="2EA265BF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347" w:type="dxa"/>
            <w:vMerge w:val="restart"/>
            <w:vAlign w:val="center"/>
          </w:tcPr>
          <w:p w14:paraId="65D2D9D0" w14:textId="16FB7035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Merge w:val="restart"/>
            <w:vAlign w:val="center"/>
          </w:tcPr>
          <w:p w14:paraId="64FAF8AC" w14:textId="56B69384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14:paraId="22084AB5" w14:textId="77777777" w:rsidTr="00385BA2">
        <w:trPr>
          <w:trHeight w:val="407"/>
          <w:jc w:val="center"/>
        </w:trPr>
        <w:tc>
          <w:tcPr>
            <w:tcW w:w="3124" w:type="dxa"/>
          </w:tcPr>
          <w:p w14:paraId="4F002E92" w14:textId="1F8BA33A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support@stingray-mobile.ru</w:t>
            </w:r>
          </w:p>
        </w:tc>
        <w:tc>
          <w:tcPr>
            <w:tcW w:w="2243" w:type="dxa"/>
            <w:vMerge/>
          </w:tcPr>
          <w:p w14:paraId="55078987" w14:textId="4A836ABB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7" w:type="dxa"/>
            <w:vMerge/>
          </w:tcPr>
          <w:p w14:paraId="1D33EEDD" w14:textId="12DF2E2F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82" w:type="dxa"/>
            <w:vMerge/>
          </w:tcPr>
          <w:p w14:paraId="6C5F608F" w14:textId="4D01BCD8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</w:p>
        </w:tc>
      </w:tr>
      <w:tr w:rsidR="00385BA2" w14:paraId="0236A4A8" w14:textId="77777777" w:rsidTr="00385BA2">
        <w:trPr>
          <w:trHeight w:val="339"/>
          <w:jc w:val="center"/>
        </w:trPr>
        <w:tc>
          <w:tcPr>
            <w:tcW w:w="3124" w:type="dxa"/>
          </w:tcPr>
          <w:p w14:paraId="3326C5DD" w14:textId="5A0C3827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support@swordfishsecurity.ru</w:t>
            </w:r>
          </w:p>
        </w:tc>
        <w:tc>
          <w:tcPr>
            <w:tcW w:w="2243" w:type="dxa"/>
            <w:vMerge/>
          </w:tcPr>
          <w:p w14:paraId="71818D64" w14:textId="0020F4BB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347" w:type="dxa"/>
            <w:vMerge/>
          </w:tcPr>
          <w:p w14:paraId="121A3AEE" w14:textId="321876B9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82" w:type="dxa"/>
            <w:vMerge/>
          </w:tcPr>
          <w:p w14:paraId="13536AD8" w14:textId="53630BD7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</w:p>
        </w:tc>
      </w:tr>
      <w:tr w:rsidR="00385BA2" w14:paraId="1694C1C7" w14:textId="77777777" w:rsidTr="006A503E">
        <w:trPr>
          <w:trHeight w:val="473"/>
          <w:jc w:val="center"/>
        </w:trPr>
        <w:tc>
          <w:tcPr>
            <w:tcW w:w="3124" w:type="dxa"/>
            <w:vAlign w:val="center"/>
          </w:tcPr>
          <w:p w14:paraId="358BEDF1" w14:textId="25205506" w:rsidR="00385BA2" w:rsidRP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Выделенный канал коммуникации (</w:t>
            </w:r>
            <w:proofErr w:type="spellStart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Telegram</w:t>
            </w:r>
            <w:proofErr w:type="spellEnd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Mattermost</w:t>
            </w:r>
            <w:proofErr w:type="spellEnd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 xml:space="preserve">) </w:t>
            </w:r>
          </w:p>
        </w:tc>
        <w:tc>
          <w:tcPr>
            <w:tcW w:w="2243" w:type="dxa"/>
            <w:vAlign w:val="center"/>
          </w:tcPr>
          <w:p w14:paraId="54340620" w14:textId="646A7FAC" w:rsidR="00385BA2" w:rsidRP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6ADBCFB7" w14:textId="64B0E809" w:rsidR="00385BA2" w:rsidRP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Align w:val="center"/>
          </w:tcPr>
          <w:p w14:paraId="0DBC945F" w14:textId="71C29974" w:rsidR="00385BA2" w:rsidRP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14:paraId="5431BDA9" w14:textId="77777777" w:rsidTr="006A503E">
        <w:trPr>
          <w:trHeight w:val="473"/>
          <w:jc w:val="center"/>
        </w:trPr>
        <w:tc>
          <w:tcPr>
            <w:tcW w:w="3124" w:type="dxa"/>
            <w:vAlign w:val="center"/>
          </w:tcPr>
          <w:p w14:paraId="36123749" w14:textId="5185DE77" w:rsidR="00385BA2" w:rsidRP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 xml:space="preserve">Оперативная онлайн-консультация в чате </w:t>
            </w:r>
          </w:p>
        </w:tc>
        <w:tc>
          <w:tcPr>
            <w:tcW w:w="2243" w:type="dxa"/>
            <w:vAlign w:val="center"/>
          </w:tcPr>
          <w:p w14:paraId="73DFBC37" w14:textId="17B467A8" w:rsidR="00385BA2" w:rsidRP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69447BDF" w14:textId="7EF94522" w:rsidR="00385BA2" w:rsidRP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Align w:val="center"/>
          </w:tcPr>
          <w:p w14:paraId="0350F774" w14:textId="3BDE36E4" w:rsidR="00385BA2" w:rsidRP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14:paraId="40C11B63" w14:textId="77777777" w:rsidTr="006A503E">
        <w:trPr>
          <w:trHeight w:val="473"/>
          <w:jc w:val="center"/>
        </w:trPr>
        <w:tc>
          <w:tcPr>
            <w:tcW w:w="3124" w:type="dxa"/>
            <w:vAlign w:val="center"/>
          </w:tcPr>
          <w:p w14:paraId="05577FC0" w14:textId="4FDB83C6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Выделенный Service Desk</w:t>
            </w:r>
          </w:p>
        </w:tc>
        <w:tc>
          <w:tcPr>
            <w:tcW w:w="2243" w:type="dxa"/>
            <w:vAlign w:val="center"/>
          </w:tcPr>
          <w:p w14:paraId="08CC9D81" w14:textId="4B4E6D83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2CC3238A" w14:textId="21E25584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Align w:val="center"/>
          </w:tcPr>
          <w:p w14:paraId="55372CDE" w14:textId="67D82BAA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14:paraId="4256699B" w14:textId="77777777" w:rsidTr="006A503E">
        <w:trPr>
          <w:trHeight w:val="357"/>
          <w:jc w:val="center"/>
        </w:trPr>
        <w:tc>
          <w:tcPr>
            <w:tcW w:w="3124" w:type="dxa"/>
            <w:vAlign w:val="center"/>
          </w:tcPr>
          <w:p w14:paraId="4B447D88" w14:textId="6013E6A6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Выделенный менеджер сопровождения (CSM)</w:t>
            </w:r>
          </w:p>
        </w:tc>
        <w:tc>
          <w:tcPr>
            <w:tcW w:w="2243" w:type="dxa"/>
            <w:vAlign w:val="center"/>
          </w:tcPr>
          <w:p w14:paraId="1D9098B5" w14:textId="4E99650A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4F3F2A79" w14:textId="6391FE59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Align w:val="center"/>
          </w:tcPr>
          <w:p w14:paraId="454D522D" w14:textId="52A31C34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14:paraId="239BFB2F" w14:textId="77777777" w:rsidTr="006A503E">
        <w:trPr>
          <w:trHeight w:val="423"/>
          <w:jc w:val="center"/>
        </w:trPr>
        <w:tc>
          <w:tcPr>
            <w:tcW w:w="3124" w:type="dxa"/>
            <w:vAlign w:val="center"/>
          </w:tcPr>
          <w:p w14:paraId="081E304F" w14:textId="3327EE55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Ежеквартальная оценка состояния процессов и системы (онлайн)</w:t>
            </w:r>
          </w:p>
        </w:tc>
        <w:tc>
          <w:tcPr>
            <w:tcW w:w="2243" w:type="dxa"/>
            <w:vAlign w:val="center"/>
          </w:tcPr>
          <w:p w14:paraId="093007BE" w14:textId="74551CB5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12A5AA9D" w14:textId="7A73EF10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482" w:type="dxa"/>
            <w:vAlign w:val="center"/>
          </w:tcPr>
          <w:p w14:paraId="788F116A" w14:textId="45435A05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14:paraId="13E44C90" w14:textId="77777777" w:rsidTr="00385BA2">
        <w:trPr>
          <w:trHeight w:val="423"/>
          <w:jc w:val="center"/>
        </w:trPr>
        <w:tc>
          <w:tcPr>
            <w:tcW w:w="10196" w:type="dxa"/>
            <w:gridSpan w:val="4"/>
            <w:vAlign w:val="center"/>
          </w:tcPr>
          <w:p w14:paraId="3093099B" w14:textId="372ED5C6" w:rsidR="00385BA2" w:rsidRP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Обработка инцидента | Запрос на улучшение продукта</w:t>
            </w:r>
          </w:p>
        </w:tc>
      </w:tr>
      <w:tr w:rsidR="00385BA2" w14:paraId="0CFC26EF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5721A2B1" w14:textId="548AF2DE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bookmarkStart w:id="0" w:name="_Hlk199427512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Запрос на дополнительную функцию (пожелание к продукту), сопоставление с технологическим развитием продукта</w:t>
            </w:r>
          </w:p>
        </w:tc>
        <w:tc>
          <w:tcPr>
            <w:tcW w:w="2243" w:type="dxa"/>
            <w:vAlign w:val="center"/>
          </w:tcPr>
          <w:p w14:paraId="406B4920" w14:textId="71940F27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347" w:type="dxa"/>
            <w:vAlign w:val="center"/>
          </w:tcPr>
          <w:p w14:paraId="6EE12EE2" w14:textId="58164992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Align w:val="center"/>
          </w:tcPr>
          <w:p w14:paraId="4FD08145" w14:textId="6A11505C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14:paraId="252FA5BF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4E067F89" w14:textId="3544CFF6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Выделенный инженер для разбора ваших задач в ежедневном режиме</w:t>
            </w:r>
          </w:p>
        </w:tc>
        <w:tc>
          <w:tcPr>
            <w:tcW w:w="2243" w:type="dxa"/>
            <w:vAlign w:val="center"/>
          </w:tcPr>
          <w:p w14:paraId="6A57977D" w14:textId="2BEAD17B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3D5B85C1" w14:textId="6A732F9A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Align w:val="center"/>
          </w:tcPr>
          <w:p w14:paraId="7B2713CD" w14:textId="5FF61191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:rsidRPr="00385BA2" w14:paraId="7B8557C3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5D952E20" w14:textId="7E0CD3B8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Оперативное исправление - подготовка решения вне обычного цикла обновлений, предназначенное для исправления ошибок</w:t>
            </w:r>
          </w:p>
        </w:tc>
        <w:tc>
          <w:tcPr>
            <w:tcW w:w="2243" w:type="dxa"/>
            <w:vAlign w:val="center"/>
          </w:tcPr>
          <w:p w14:paraId="3F17655B" w14:textId="4D233733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7F9824D4" w14:textId="5B097505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Align w:val="center"/>
          </w:tcPr>
          <w:p w14:paraId="0AC9D1E1" w14:textId="14DB2453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:rsidRPr="00385BA2" w14:paraId="5E93727B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4584C86E" w14:textId="360D4005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 xml:space="preserve">Возможность влиять на продуктовый </w:t>
            </w:r>
            <w:proofErr w:type="spellStart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бэклог</w:t>
            </w:r>
            <w:proofErr w:type="spellEnd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приоритизация</w:t>
            </w:r>
            <w:proofErr w:type="spellEnd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 xml:space="preserve"> ваших запросов - квартальная встреча с продуктовой командой </w:t>
            </w:r>
          </w:p>
        </w:tc>
        <w:tc>
          <w:tcPr>
            <w:tcW w:w="2243" w:type="dxa"/>
            <w:vAlign w:val="center"/>
          </w:tcPr>
          <w:p w14:paraId="1209EFB7" w14:textId="355DDEAD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223E0B76" w14:textId="6D346B09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482" w:type="dxa"/>
            <w:vAlign w:val="center"/>
          </w:tcPr>
          <w:p w14:paraId="414A6863" w14:textId="0EFB3075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bookmarkEnd w:id="0"/>
      <w:tr w:rsidR="00385BA2" w:rsidRPr="00385BA2" w14:paraId="30154A2D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7FA050AE" w14:textId="557EB977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Повышенный приоритет</w:t>
            </w:r>
          </w:p>
        </w:tc>
        <w:tc>
          <w:tcPr>
            <w:tcW w:w="2243" w:type="dxa"/>
            <w:vAlign w:val="center"/>
          </w:tcPr>
          <w:p w14:paraId="444418EC" w14:textId="799DF693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037CFD5D" w14:textId="3C095845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482" w:type="dxa"/>
            <w:vAlign w:val="center"/>
          </w:tcPr>
          <w:p w14:paraId="6D109447" w14:textId="4D8C1413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:rsidRPr="00385BA2" w14:paraId="7F8352D5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3BCB66DB" w14:textId="11EB01E9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 xml:space="preserve">Поддержка 24/7 </w:t>
            </w:r>
          </w:p>
        </w:tc>
        <w:tc>
          <w:tcPr>
            <w:tcW w:w="2243" w:type="dxa"/>
            <w:vAlign w:val="center"/>
          </w:tcPr>
          <w:p w14:paraId="0535B67B" w14:textId="7FB4F56C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78A634C4" w14:textId="5C382FC3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482" w:type="dxa"/>
            <w:vAlign w:val="center"/>
          </w:tcPr>
          <w:p w14:paraId="1B434A3A" w14:textId="728D2BAC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:rsidRPr="00385BA2" w14:paraId="273CFB91" w14:textId="77777777" w:rsidTr="00385BA2">
        <w:trPr>
          <w:trHeight w:val="423"/>
          <w:jc w:val="center"/>
        </w:trPr>
        <w:tc>
          <w:tcPr>
            <w:tcW w:w="10196" w:type="dxa"/>
            <w:gridSpan w:val="4"/>
            <w:vAlign w:val="center"/>
          </w:tcPr>
          <w:p w14:paraId="5EFCE729" w14:textId="39F8D1D3" w:rsidR="00385BA2" w:rsidRP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Кастомизация</w:t>
            </w:r>
          </w:p>
        </w:tc>
      </w:tr>
      <w:tr w:rsidR="00385BA2" w:rsidRPr="00385BA2" w14:paraId="55409BC9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698BC430" w14:textId="24623488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Подготовка конвертеров для кастомных инструментов (не более 4-х запросов в год)</w:t>
            </w:r>
          </w:p>
        </w:tc>
        <w:tc>
          <w:tcPr>
            <w:tcW w:w="2243" w:type="dxa"/>
            <w:vAlign w:val="center"/>
          </w:tcPr>
          <w:p w14:paraId="31F24F76" w14:textId="668605B1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37DF3C88" w14:textId="3E9551A9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482" w:type="dxa"/>
            <w:vAlign w:val="center"/>
          </w:tcPr>
          <w:p w14:paraId="0A21FF02" w14:textId="016A8BA0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:rsidRPr="00385BA2" w14:paraId="007DCCFD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2F9EAF6E" w14:textId="6F7B3AAF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lastRenderedPageBreak/>
              <w:t>Мониторинг состояния ключевых метрик инструмента и загрузки ресурсов ОС</w:t>
            </w:r>
          </w:p>
        </w:tc>
        <w:tc>
          <w:tcPr>
            <w:tcW w:w="2243" w:type="dxa"/>
            <w:vAlign w:val="center"/>
          </w:tcPr>
          <w:p w14:paraId="75BCD624" w14:textId="6587494E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68701258" w14:textId="121412C6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482" w:type="dxa"/>
            <w:vAlign w:val="center"/>
          </w:tcPr>
          <w:p w14:paraId="2E7CB022" w14:textId="2720FCD0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:rsidRPr="00385BA2" w14:paraId="3FA2F4E1" w14:textId="77777777" w:rsidTr="007A02CC">
        <w:trPr>
          <w:trHeight w:val="423"/>
          <w:jc w:val="center"/>
        </w:trPr>
        <w:tc>
          <w:tcPr>
            <w:tcW w:w="10196" w:type="dxa"/>
            <w:gridSpan w:val="4"/>
            <w:vAlign w:val="center"/>
          </w:tcPr>
          <w:p w14:paraId="51A8466F" w14:textId="59E86B3C" w:rsidR="00385BA2" w:rsidRP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Доступ к программам обучения</w:t>
            </w:r>
          </w:p>
        </w:tc>
      </w:tr>
      <w:tr w:rsidR="00385BA2" w:rsidRPr="00385BA2" w14:paraId="2ED0F583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69992C6F" w14:textId="3656BB46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 xml:space="preserve">Доступ к базовому курсу </w:t>
            </w:r>
            <w:proofErr w:type="spellStart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DevSecOps</w:t>
            </w:r>
            <w:proofErr w:type="spellEnd"/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;</w:t>
            </w:r>
          </w:p>
        </w:tc>
        <w:tc>
          <w:tcPr>
            <w:tcW w:w="2243" w:type="dxa"/>
            <w:vAlign w:val="center"/>
          </w:tcPr>
          <w:p w14:paraId="344A9037" w14:textId="385B4346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347" w:type="dxa"/>
            <w:vAlign w:val="center"/>
          </w:tcPr>
          <w:p w14:paraId="2B8B6B6B" w14:textId="20309BEA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Align w:val="center"/>
          </w:tcPr>
          <w:p w14:paraId="1EA4AEC1" w14:textId="03DA1E6D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</w:tr>
      <w:tr w:rsidR="00385BA2" w:rsidRPr="00385BA2" w14:paraId="0F59EBF2" w14:textId="77777777" w:rsidTr="00385BA2">
        <w:trPr>
          <w:trHeight w:val="423"/>
          <w:jc w:val="center"/>
        </w:trPr>
        <w:tc>
          <w:tcPr>
            <w:tcW w:w="3124" w:type="dxa"/>
            <w:vAlign w:val="center"/>
          </w:tcPr>
          <w:p w14:paraId="21675C70" w14:textId="61CDFAD6" w:rsidR="00385BA2" w:rsidRDefault="00385BA2" w:rsidP="00385BA2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Очный тренинг от вендора по передовым настройкам инструмента</w:t>
            </w:r>
          </w:p>
        </w:tc>
        <w:tc>
          <w:tcPr>
            <w:tcW w:w="2243" w:type="dxa"/>
            <w:vAlign w:val="center"/>
          </w:tcPr>
          <w:p w14:paraId="1551F0DC" w14:textId="361CC945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347" w:type="dxa"/>
            <w:vAlign w:val="center"/>
          </w:tcPr>
          <w:p w14:paraId="0391D5EF" w14:textId="09623AA1" w:rsidR="00385BA2" w:rsidRDefault="00385BA2" w:rsidP="00385BA2">
            <w:pPr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+</w:t>
            </w:r>
          </w:p>
        </w:tc>
        <w:tc>
          <w:tcPr>
            <w:tcW w:w="2482" w:type="dxa"/>
            <w:vAlign w:val="center"/>
          </w:tcPr>
          <w:p w14:paraId="0CC8D32C" w14:textId="186FEECF" w:rsidR="00385BA2" w:rsidRPr="00385BA2" w:rsidRDefault="00385BA2" w:rsidP="00385BA2">
            <w:pPr>
              <w:ind w:right="-101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 w:rsidRPr="00385BA2"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2 очных тренинга</w:t>
            </w:r>
          </w:p>
        </w:tc>
      </w:tr>
    </w:tbl>
    <w:p w14:paraId="331EE323" w14:textId="7E33A896" w:rsidR="003A091A" w:rsidRDefault="00000000" w:rsidP="0038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360" w:lineRule="auto"/>
        <w:jc w:val="both"/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  <w:t>Время реакции в Расширенн</w:t>
      </w:r>
      <w:r w:rsidR="006629AD"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  <w:t>о</w:t>
      </w:r>
      <w:r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  <w:t>й сервисной поддержке</w:t>
      </w:r>
    </w:p>
    <w:tbl>
      <w:tblPr>
        <w:tblStyle w:val="af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2410"/>
        <w:gridCol w:w="2570"/>
      </w:tblGrid>
      <w:tr w:rsidR="003A091A" w14:paraId="6A12CB45" w14:textId="77777777">
        <w:trPr>
          <w:trHeight w:val="475"/>
        </w:trPr>
        <w:tc>
          <w:tcPr>
            <w:tcW w:w="3256" w:type="dxa"/>
            <w:vAlign w:val="center"/>
          </w:tcPr>
          <w:p w14:paraId="42FC7C99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Описание инцидента</w:t>
            </w:r>
          </w:p>
        </w:tc>
        <w:tc>
          <w:tcPr>
            <w:tcW w:w="1842" w:type="dxa"/>
            <w:vAlign w:val="center"/>
          </w:tcPr>
          <w:p w14:paraId="6B44CCFA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Приоритет</w:t>
            </w:r>
          </w:p>
        </w:tc>
        <w:tc>
          <w:tcPr>
            <w:tcW w:w="2410" w:type="dxa"/>
            <w:vAlign w:val="center"/>
          </w:tcPr>
          <w:p w14:paraId="49787307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Срок реакции на заявку</w:t>
            </w:r>
          </w:p>
        </w:tc>
        <w:tc>
          <w:tcPr>
            <w:tcW w:w="2570" w:type="dxa"/>
            <w:vAlign w:val="center"/>
          </w:tcPr>
          <w:p w14:paraId="2CE1B613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Срок решения проблемы</w:t>
            </w:r>
          </w:p>
        </w:tc>
      </w:tr>
      <w:tr w:rsidR="003A091A" w14:paraId="416D9F9B" w14:textId="77777777">
        <w:trPr>
          <w:trHeight w:val="717"/>
        </w:trPr>
        <w:tc>
          <w:tcPr>
            <w:tcW w:w="3256" w:type="dxa"/>
            <w:vAlign w:val="center"/>
          </w:tcPr>
          <w:p w14:paraId="6E0D0422" w14:textId="77777777" w:rsidR="003A091A" w:rsidRDefault="00000000">
            <w:pPr>
              <w:pStyle w:val="aff7"/>
              <w:spacing w:before="0" w:beforeAutospacing="0" w:after="0" w:afterAutospacing="0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Критическая ошибка</w:t>
            </w:r>
          </w:p>
          <w:p w14:paraId="0464860A" w14:textId="77777777" w:rsidR="003A091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 Ошибка, которая приводит к остановке функционирования Системы</w:t>
            </w:r>
          </w:p>
        </w:tc>
        <w:tc>
          <w:tcPr>
            <w:tcW w:w="1842" w:type="dxa"/>
            <w:vAlign w:val="center"/>
          </w:tcPr>
          <w:p w14:paraId="1F76E083" w14:textId="77777777" w:rsidR="003A091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1 – высший</w:t>
            </w:r>
          </w:p>
        </w:tc>
        <w:tc>
          <w:tcPr>
            <w:tcW w:w="2410" w:type="dxa"/>
            <w:vAlign w:val="center"/>
          </w:tcPr>
          <w:p w14:paraId="2E8FC1E1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4 рабочих часа</w:t>
            </w:r>
          </w:p>
          <w:p w14:paraId="5C0DA8BB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(1 отчет о статусе в день)</w:t>
            </w:r>
          </w:p>
        </w:tc>
        <w:tc>
          <w:tcPr>
            <w:tcW w:w="2570" w:type="dxa"/>
            <w:vAlign w:val="center"/>
          </w:tcPr>
          <w:p w14:paraId="130EFF87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3 рабочих дня</w:t>
            </w:r>
          </w:p>
        </w:tc>
      </w:tr>
      <w:tr w:rsidR="003A091A" w14:paraId="0F186B46" w14:textId="77777777">
        <w:trPr>
          <w:trHeight w:val="125"/>
        </w:trPr>
        <w:tc>
          <w:tcPr>
            <w:tcW w:w="3256" w:type="dxa"/>
            <w:vAlign w:val="center"/>
          </w:tcPr>
          <w:p w14:paraId="2590D4AD" w14:textId="77777777" w:rsidR="003A091A" w:rsidRDefault="00000000">
            <w:pPr>
              <w:pStyle w:val="aff7"/>
              <w:spacing w:before="0" w:beforeAutospacing="0" w:after="0" w:afterAutospacing="0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Существенная ошибка</w:t>
            </w:r>
          </w:p>
          <w:p w14:paraId="403BC2BF" w14:textId="77777777" w:rsidR="003A091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 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Ошибка, которая может привести к нарушению функционирования Системы, но допускает временное альтернативное решение</w:t>
            </w:r>
          </w:p>
        </w:tc>
        <w:tc>
          <w:tcPr>
            <w:tcW w:w="1842" w:type="dxa"/>
            <w:vAlign w:val="center"/>
          </w:tcPr>
          <w:p w14:paraId="4FAAE151" w14:textId="77777777" w:rsidR="003A091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2 – средний</w:t>
            </w:r>
          </w:p>
        </w:tc>
        <w:tc>
          <w:tcPr>
            <w:tcW w:w="2410" w:type="dxa"/>
            <w:vAlign w:val="center"/>
          </w:tcPr>
          <w:p w14:paraId="6992C8A6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8 рабочих часов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(1 отчет о статусе в день)</w:t>
            </w:r>
          </w:p>
        </w:tc>
        <w:tc>
          <w:tcPr>
            <w:tcW w:w="2570" w:type="dxa"/>
            <w:vAlign w:val="center"/>
          </w:tcPr>
          <w:p w14:paraId="3F287B8B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5 рабочих дней</w:t>
            </w:r>
          </w:p>
        </w:tc>
      </w:tr>
      <w:tr w:rsidR="003A091A" w14:paraId="63CBA25F" w14:textId="77777777">
        <w:trPr>
          <w:trHeight w:val="125"/>
        </w:trPr>
        <w:tc>
          <w:tcPr>
            <w:tcW w:w="3256" w:type="dxa"/>
            <w:vAlign w:val="center"/>
          </w:tcPr>
          <w:p w14:paraId="36D825DC" w14:textId="77777777" w:rsidR="003A091A" w:rsidRDefault="00000000">
            <w:pPr>
              <w:pStyle w:val="aff7"/>
              <w:spacing w:before="0" w:beforeAutospacing="0" w:after="0" w:afterAutospacing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Несущественная ошибка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 </w:t>
            </w:r>
          </w:p>
          <w:p w14:paraId="1D314310" w14:textId="77777777" w:rsidR="003A091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Ошибка, которая может привести к несущественному нарушению функционированию Системы</w:t>
            </w:r>
          </w:p>
        </w:tc>
        <w:tc>
          <w:tcPr>
            <w:tcW w:w="1842" w:type="dxa"/>
            <w:vAlign w:val="center"/>
          </w:tcPr>
          <w:p w14:paraId="05E68400" w14:textId="77777777" w:rsidR="003A091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3 – низкий</w:t>
            </w:r>
          </w:p>
        </w:tc>
        <w:tc>
          <w:tcPr>
            <w:tcW w:w="2410" w:type="dxa"/>
            <w:vAlign w:val="center"/>
          </w:tcPr>
          <w:p w14:paraId="7762968A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12 рабочих часов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(1 отчет о статусе в день)</w:t>
            </w:r>
          </w:p>
        </w:tc>
        <w:tc>
          <w:tcPr>
            <w:tcW w:w="2570" w:type="dxa"/>
            <w:vAlign w:val="center"/>
          </w:tcPr>
          <w:p w14:paraId="1C362239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Согласно плану релизов</w:t>
            </w:r>
          </w:p>
        </w:tc>
      </w:tr>
    </w:tbl>
    <w:p w14:paraId="16210329" w14:textId="77777777" w:rsidR="003A091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360" w:lineRule="auto"/>
        <w:jc w:val="both"/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1"/>
          <w:szCs w:val="21"/>
        </w:rPr>
        <w:t>Время реакции в Премиальной сервисной поддержке</w:t>
      </w:r>
    </w:p>
    <w:tbl>
      <w:tblPr>
        <w:tblStyle w:val="af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2410"/>
        <w:gridCol w:w="2570"/>
      </w:tblGrid>
      <w:tr w:rsidR="003A091A" w14:paraId="3DCC29D8" w14:textId="77777777">
        <w:trPr>
          <w:trHeight w:val="475"/>
        </w:trPr>
        <w:tc>
          <w:tcPr>
            <w:tcW w:w="3256" w:type="dxa"/>
            <w:vAlign w:val="center"/>
          </w:tcPr>
          <w:p w14:paraId="0B82FDE9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Описание инцидента</w:t>
            </w:r>
          </w:p>
        </w:tc>
        <w:tc>
          <w:tcPr>
            <w:tcW w:w="1842" w:type="dxa"/>
            <w:vAlign w:val="center"/>
          </w:tcPr>
          <w:p w14:paraId="3B538818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Приоритет</w:t>
            </w:r>
          </w:p>
        </w:tc>
        <w:tc>
          <w:tcPr>
            <w:tcW w:w="2410" w:type="dxa"/>
            <w:vAlign w:val="center"/>
          </w:tcPr>
          <w:p w14:paraId="0E98E041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Срок реакции на заявку</w:t>
            </w:r>
          </w:p>
        </w:tc>
        <w:tc>
          <w:tcPr>
            <w:tcW w:w="2570" w:type="dxa"/>
            <w:vAlign w:val="center"/>
          </w:tcPr>
          <w:p w14:paraId="19DFE7CC" w14:textId="77777777" w:rsidR="003A091A" w:rsidRDefault="00000000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t>Срок решения проблемы</w:t>
            </w:r>
          </w:p>
        </w:tc>
      </w:tr>
      <w:tr w:rsidR="003A091A" w14:paraId="4A721286" w14:textId="77777777">
        <w:trPr>
          <w:trHeight w:val="717"/>
        </w:trPr>
        <w:tc>
          <w:tcPr>
            <w:tcW w:w="3256" w:type="dxa"/>
            <w:vAlign w:val="center"/>
          </w:tcPr>
          <w:p w14:paraId="5C6E07CD" w14:textId="77777777" w:rsidR="003A091A" w:rsidRDefault="00000000">
            <w:pPr>
              <w:pStyle w:val="aff7"/>
              <w:spacing w:before="0" w:beforeAutospacing="0" w:after="0" w:afterAutospacing="0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Критическая ошибка</w:t>
            </w:r>
          </w:p>
          <w:p w14:paraId="042E367E" w14:textId="77777777" w:rsidR="003A091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 Ошибка, которая приводит к остановке функционирования Системы</w:t>
            </w:r>
          </w:p>
        </w:tc>
        <w:tc>
          <w:tcPr>
            <w:tcW w:w="1842" w:type="dxa"/>
            <w:vAlign w:val="center"/>
          </w:tcPr>
          <w:p w14:paraId="7BED2C47" w14:textId="77777777" w:rsidR="003A091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1 – высший</w:t>
            </w:r>
          </w:p>
        </w:tc>
        <w:tc>
          <w:tcPr>
            <w:tcW w:w="2410" w:type="dxa"/>
            <w:vAlign w:val="center"/>
          </w:tcPr>
          <w:p w14:paraId="54C89BF3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2 рабочих часа</w:t>
            </w:r>
          </w:p>
          <w:p w14:paraId="2F13925E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(1 отчет о статусе в день)</w:t>
            </w:r>
          </w:p>
        </w:tc>
        <w:tc>
          <w:tcPr>
            <w:tcW w:w="2570" w:type="dxa"/>
            <w:vAlign w:val="center"/>
          </w:tcPr>
          <w:p w14:paraId="1CE2F8DE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2 рабочих дня</w:t>
            </w:r>
          </w:p>
        </w:tc>
      </w:tr>
      <w:tr w:rsidR="003A091A" w14:paraId="6148A050" w14:textId="77777777">
        <w:trPr>
          <w:trHeight w:val="125"/>
        </w:trPr>
        <w:tc>
          <w:tcPr>
            <w:tcW w:w="3256" w:type="dxa"/>
            <w:vAlign w:val="center"/>
          </w:tcPr>
          <w:p w14:paraId="153D6929" w14:textId="77777777" w:rsidR="003A091A" w:rsidRDefault="00000000">
            <w:pPr>
              <w:pStyle w:val="aff7"/>
              <w:spacing w:before="0" w:beforeAutospacing="0" w:after="0" w:afterAutospacing="0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Существенная ошибка</w:t>
            </w:r>
          </w:p>
          <w:p w14:paraId="6FF8127F" w14:textId="77777777" w:rsidR="003A091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 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Ошибка, которая может привести к нарушению функционирования Системы, но допускает временное альтернативное решение</w:t>
            </w:r>
          </w:p>
        </w:tc>
        <w:tc>
          <w:tcPr>
            <w:tcW w:w="1842" w:type="dxa"/>
            <w:vAlign w:val="center"/>
          </w:tcPr>
          <w:p w14:paraId="1AEA92B7" w14:textId="77777777" w:rsidR="003A091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2 – средний</w:t>
            </w:r>
          </w:p>
        </w:tc>
        <w:tc>
          <w:tcPr>
            <w:tcW w:w="2410" w:type="dxa"/>
            <w:vAlign w:val="center"/>
          </w:tcPr>
          <w:p w14:paraId="340B44A2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4 рабочих часа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(1 отчет о статусе в день)</w:t>
            </w:r>
          </w:p>
        </w:tc>
        <w:tc>
          <w:tcPr>
            <w:tcW w:w="2570" w:type="dxa"/>
            <w:vAlign w:val="center"/>
          </w:tcPr>
          <w:p w14:paraId="2F54BFA3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4 рабочих дня</w:t>
            </w:r>
          </w:p>
        </w:tc>
      </w:tr>
      <w:tr w:rsidR="003A091A" w14:paraId="36D36F89" w14:textId="77777777">
        <w:trPr>
          <w:trHeight w:val="125"/>
        </w:trPr>
        <w:tc>
          <w:tcPr>
            <w:tcW w:w="3256" w:type="dxa"/>
            <w:vAlign w:val="center"/>
          </w:tcPr>
          <w:p w14:paraId="3A3AFD92" w14:textId="77777777" w:rsidR="003A091A" w:rsidRDefault="00000000">
            <w:pPr>
              <w:pStyle w:val="aff7"/>
              <w:spacing w:before="0" w:beforeAutospacing="0" w:after="0" w:afterAutospacing="0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Несущественная ошибка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 </w:t>
            </w:r>
          </w:p>
          <w:p w14:paraId="041EA215" w14:textId="77777777" w:rsidR="003A091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Ошибка, которая может привести к несущественному нарушению функционированию Системы</w:t>
            </w:r>
          </w:p>
        </w:tc>
        <w:tc>
          <w:tcPr>
            <w:tcW w:w="1842" w:type="dxa"/>
            <w:vAlign w:val="center"/>
          </w:tcPr>
          <w:p w14:paraId="263CC384" w14:textId="77777777" w:rsidR="003A091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3 – низкий</w:t>
            </w:r>
          </w:p>
        </w:tc>
        <w:tc>
          <w:tcPr>
            <w:tcW w:w="2410" w:type="dxa"/>
            <w:vAlign w:val="center"/>
          </w:tcPr>
          <w:p w14:paraId="04256829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8 рабочих часов</w:t>
            </w: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br/>
              <w:t>(1 отчет о статусе в день)</w:t>
            </w:r>
          </w:p>
        </w:tc>
        <w:tc>
          <w:tcPr>
            <w:tcW w:w="2570" w:type="dxa"/>
            <w:vAlign w:val="center"/>
          </w:tcPr>
          <w:p w14:paraId="2A19B221" w14:textId="77777777" w:rsidR="003A091A" w:rsidRDefault="00000000">
            <w:pPr>
              <w:pStyle w:val="aff7"/>
              <w:spacing w:before="0" w:beforeAutospacing="0" w:after="0" w:afterAutospacing="0"/>
              <w:jc w:val="center"/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18"/>
                <w:szCs w:val="18"/>
              </w:rPr>
              <w:t>Согласно плану релизов + возможность оперативного исправления обнаруженной ошибки</w:t>
            </w:r>
          </w:p>
        </w:tc>
      </w:tr>
    </w:tbl>
    <w:p w14:paraId="76FA09CE" w14:textId="77777777" w:rsidR="002A7CFA" w:rsidRDefault="002A7CFA">
      <w:pPr>
        <w:spacing w:after="160" w:line="259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br w:type="page"/>
      </w:r>
    </w:p>
    <w:p w14:paraId="21764BFD" w14:textId="5AA547B6" w:rsidR="00F76166" w:rsidRPr="00F76166" w:rsidRDefault="00000000" w:rsidP="00F76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360" w:lineRule="auto"/>
        <w:jc w:val="both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  <w:lastRenderedPageBreak/>
        <w:t>Примечания</w:t>
      </w:r>
    </w:p>
    <w:p w14:paraId="0F8E216F" w14:textId="152AF153" w:rsidR="00F76166" w:rsidRDefault="00F76166" w:rsidP="00F76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F76166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Работы на территории Пользователя осуществляются Исполнителем только в рамках устранения критических и существенных ошибок, при условии, что все иные предложенные Исполнителем и примененные Пользователем варианты устранения ошибки не привели к её устранению. Служба технической поддержки работает в соответствии с государственным производственным календарём в рабочие дни с 09:00 до 18:00 (время московское). Прием обращений в режиме 24/7 (круглосуточно, включая выходные и праздничные дни) осуществляется исключительно для Пользователей с действующим сертификатом Премиальной сервисной поддержки. Все поступившие в режиме 24/7 обращения регистрируются, им присваивается уникальный </w:t>
      </w:r>
      <w:proofErr w:type="spellStart"/>
      <w:r w:rsidRPr="00F76166">
        <w:rPr>
          <w:rFonts w:ascii="Open Sans" w:hAnsi="Open Sans" w:cs="Open Sans"/>
          <w:color w:val="404040" w:themeColor="text1" w:themeTint="BF"/>
          <w:sz w:val="20"/>
          <w:szCs w:val="20"/>
        </w:rPr>
        <w:t>номер</w:t>
      </w:r>
      <w:r w:rsidR="00926372">
        <w:rPr>
          <w:rFonts w:ascii="Open Sans" w:hAnsi="Open Sans" w:cs="Open Sans"/>
          <w:color w:val="404040" w:themeColor="text1" w:themeTint="BF"/>
          <w:sz w:val="20"/>
          <w:szCs w:val="20"/>
        </w:rPr>
        <w:t>ы</w:t>
      </w:r>
      <w:proofErr w:type="spellEnd"/>
      <w:r w:rsidRPr="00F76166">
        <w:rPr>
          <w:rFonts w:ascii="Open Sans" w:hAnsi="Open Sans" w:cs="Open Sans"/>
          <w:color w:val="404040" w:themeColor="text1" w:themeTint="BF"/>
          <w:sz w:val="20"/>
          <w:szCs w:val="20"/>
        </w:rPr>
        <w:t>. Сроки реакции и решения проблемы определяются приоритетом обращения в соответствии с уровнем SLA для Премиальной сервисной поддержки, указанным в настоящем Регламенте.</w:t>
      </w:r>
    </w:p>
    <w:p w14:paraId="138A8B6B" w14:textId="7CB0392B" w:rsidR="00F76166" w:rsidRPr="00F76166" w:rsidRDefault="00F76166" w:rsidP="00F76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F76166">
        <w:rPr>
          <w:rFonts w:ascii="Open Sans" w:hAnsi="Open Sans" w:cs="Open Sans"/>
          <w:color w:val="404040" w:themeColor="text1" w:themeTint="BF"/>
          <w:sz w:val="20"/>
          <w:szCs w:val="20"/>
        </w:rPr>
        <w:t>Базовая, расширенная и премиальная поддержка в рамках данного регламента осуществляется при наличии у Пользователя действующей лицензии на обслуживаемое Исполнителем программное обеспечение</w:t>
      </w:r>
    </w:p>
    <w:sectPr w:rsidR="00F76166" w:rsidRPr="00F761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850" w:bottom="630" w:left="850" w:header="722" w:footer="19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143F" w14:textId="77777777" w:rsidR="006D192A" w:rsidRDefault="006D192A">
      <w:r>
        <w:separator/>
      </w:r>
    </w:p>
  </w:endnote>
  <w:endnote w:type="continuationSeparator" w:id="0">
    <w:p w14:paraId="22F0EAFF" w14:textId="77777777" w:rsidR="006D192A" w:rsidRDefault="006D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 New Roman Bold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F3F6" w14:textId="77777777" w:rsidR="003A091A" w:rsidRDefault="00000000">
    <w:pPr>
      <w:pStyle w:val="af8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0B241A" wp14:editId="4274B9F5">
              <wp:simplePos x="0" y="0"/>
              <wp:positionH relativeFrom="margin">
                <wp:posOffset>7503</wp:posOffset>
              </wp:positionH>
              <wp:positionV relativeFrom="paragraph">
                <wp:posOffset>43129</wp:posOffset>
              </wp:positionV>
              <wp:extent cx="395822" cy="45719"/>
              <wp:effectExtent l="0" t="0" r="4445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95822" cy="45719"/>
                      </a:xfrm>
                      <a:prstGeom prst="rect">
                        <a:avLst/>
                      </a:prstGeom>
                      <a:solidFill>
                        <a:srgbClr val="4C68C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>
          <w:pict>
            <v:shape id="shape 2" o:spid="_x0000_s2" o:spt="1" type="#_x0000_t1" style="position:absolute;z-index:251665408;o:allowoverlap:true;o:allowincell:true;mso-position-horizontal-relative:margin;margin-left:0.59pt;mso-position-horizontal:absolute;mso-position-vertical-relative:text;margin-top:3.40pt;mso-position-vertical:absolute;width:31.17pt;height:3.60pt;mso-wrap-distance-left:9.00pt;mso-wrap-distance-top:0.00pt;mso-wrap-distance-right:9.00pt;mso-wrap-distance-bottom:0.00pt;visibility:visible;" fillcolor="#4C68C9" stroked="f" strokeweight="1.00pt">
              <v:stroke dashstyle="solid"/>
            </v:shape>
          </w:pict>
        </mc:Fallback>
      </mc:AlternateContent>
    </w:r>
  </w:p>
  <w:p w14:paraId="2BC5FF7C" w14:textId="77777777" w:rsidR="003A091A" w:rsidRDefault="003A091A">
    <w:pPr>
      <w:pStyle w:val="af8"/>
      <w:rPr>
        <w:rFonts w:asciiTheme="minorHAnsi" w:hAnsiTheme="minorHAnsi" w:cstheme="minorHAnsi"/>
        <w:sz w:val="20"/>
        <w:szCs w:val="20"/>
      </w:rPr>
    </w:pPr>
  </w:p>
  <w:p w14:paraId="65E6F230" w14:textId="77777777" w:rsidR="003A091A" w:rsidRDefault="00000000">
    <w:pPr>
      <w:pStyle w:val="af8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Памятка по работе с Техподдержкой</w:t>
    </w:r>
  </w:p>
  <w:p w14:paraId="67E619D7" w14:textId="77777777" w:rsidR="003A091A" w:rsidRDefault="003A091A">
    <w:pPr>
      <w:pStyle w:val="af8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B2E0" w14:textId="77777777" w:rsidR="003A091A" w:rsidRDefault="00000000">
    <w:pPr>
      <w:pStyle w:val="af8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EF7F7E" wp14:editId="07FAD194">
              <wp:simplePos x="0" y="0"/>
              <wp:positionH relativeFrom="margin">
                <wp:posOffset>7503</wp:posOffset>
              </wp:positionH>
              <wp:positionV relativeFrom="paragraph">
                <wp:posOffset>43129</wp:posOffset>
              </wp:positionV>
              <wp:extent cx="395822" cy="45719"/>
              <wp:effectExtent l="0" t="0" r="4445" b="0"/>
              <wp:wrapNone/>
              <wp:docPr id="4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95822" cy="45719"/>
                      </a:xfrm>
                      <a:prstGeom prst="rect">
                        <a:avLst/>
                      </a:prstGeom>
                      <a:solidFill>
                        <a:srgbClr val="4C68C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>
          <w:pict>
            <v:shape id="shape 3" o:spid="_x0000_s3" o:spt="1" type="#_x0000_t1" style="position:absolute;z-index:251663360;o:allowoverlap:true;o:allowincell:true;mso-position-horizontal-relative:margin;margin-left:0.59pt;mso-position-horizontal:absolute;mso-position-vertical-relative:text;margin-top:3.40pt;mso-position-vertical:absolute;width:31.17pt;height:3.60pt;mso-wrap-distance-left:9.00pt;mso-wrap-distance-top:0.00pt;mso-wrap-distance-right:9.00pt;mso-wrap-distance-bottom:0.00pt;visibility:visible;" fillcolor="#4C68C9" stroked="f" strokeweight="1.00pt">
              <v:stroke dashstyle="solid"/>
            </v:shape>
          </w:pict>
        </mc:Fallback>
      </mc:AlternateContent>
    </w:r>
  </w:p>
  <w:p w14:paraId="61720507" w14:textId="77777777" w:rsidR="003A091A" w:rsidRDefault="003A091A">
    <w:pPr>
      <w:pStyle w:val="af8"/>
      <w:rPr>
        <w:rFonts w:asciiTheme="minorHAnsi" w:hAnsiTheme="minorHAnsi" w:cstheme="minorHAnsi"/>
        <w:sz w:val="20"/>
        <w:szCs w:val="20"/>
      </w:rPr>
    </w:pPr>
  </w:p>
  <w:p w14:paraId="6E37CC96" w14:textId="77777777" w:rsidR="003A091A" w:rsidRDefault="00000000">
    <w:pPr>
      <w:pStyle w:val="af8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Памятка по работе с Техподдержкой</w:t>
    </w:r>
  </w:p>
  <w:p w14:paraId="6DB077AC" w14:textId="77777777" w:rsidR="003A091A" w:rsidRDefault="003A091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1E8A" w14:textId="77777777" w:rsidR="006D192A" w:rsidRDefault="006D192A">
      <w:r>
        <w:separator/>
      </w:r>
    </w:p>
  </w:footnote>
  <w:footnote w:type="continuationSeparator" w:id="0">
    <w:p w14:paraId="0CC73019" w14:textId="77777777" w:rsidR="006D192A" w:rsidRDefault="006D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a"/>
      <w:tblW w:w="13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5"/>
      <w:gridCol w:w="3795"/>
      <w:gridCol w:w="6106"/>
    </w:tblGrid>
    <w:tr w:rsidR="003A091A" w14:paraId="3463D982" w14:textId="77777777">
      <w:trPr>
        <w:trHeight w:val="57"/>
      </w:trPr>
      <w:tc>
        <w:tcPr>
          <w:tcW w:w="3795" w:type="dxa"/>
        </w:tcPr>
        <w:p w14:paraId="0BD4D6FA" w14:textId="77777777" w:rsidR="003A091A" w:rsidRDefault="00000000">
          <w:pPr>
            <w:pStyle w:val="af6"/>
          </w:pP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935" distR="114935" simplePos="0" relativeHeight="251675648" behindDoc="0" locked="0" layoutInCell="1" allowOverlap="1" wp14:anchorId="15F0D2E5" wp14:editId="52D76359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171450</wp:posOffset>
                    </wp:positionV>
                    <wp:extent cx="1764030" cy="479425"/>
                    <wp:effectExtent l="0" t="0" r="0" b="0"/>
                    <wp:wrapSquare wrapText="bothSides"/>
                    <wp:docPr id="1" name="Рисунок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Рисунок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rcRect l="-28" t="-102" r="-28" b="-102"/>
                            <a:stretch/>
                          </pic:blipFill>
                          <pic:spPr bwMode="auto">
                            <a:xfrm>
                              <a:off x="0" y="0"/>
                              <a:ext cx="1764030" cy="479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 xmlns:a="http://schemas.openxmlformats.org/drawingml/2006/main" xmlns:w16sdtfl="http://schemas.microsoft.com/office/word/2024/wordml/sdtformatlock" xmlns:w16du="http://schemas.microsoft.com/office/word/2023/wordml/word16du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251675648;o:allowoverlap:true;o:allowincell:true;mso-position-horizontal-relative:text;margin-left:0.00pt;mso-position-horizontal:absolute;mso-position-vertical-relative:page;margin-top:13.50pt;mso-position-vertical:absolute;width:138.90pt;height:37.75pt;mso-wrap-distance-left:9.05pt;mso-wrap-distance-top:0.00pt;mso-wrap-distance-right:9.05pt;mso-wrap-distance-bottom:0.0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</w:p>
      </w:tc>
      <w:tc>
        <w:tcPr>
          <w:tcW w:w="3795" w:type="dxa"/>
        </w:tcPr>
        <w:p w14:paraId="7F47E4FF" w14:textId="77777777" w:rsidR="003A091A" w:rsidRDefault="003A091A">
          <w:pPr>
            <w:pStyle w:val="af6"/>
          </w:pPr>
        </w:p>
      </w:tc>
      <w:tc>
        <w:tcPr>
          <w:tcW w:w="6106" w:type="dxa"/>
        </w:tcPr>
        <w:p w14:paraId="042902FA" w14:textId="77777777" w:rsidR="003A091A" w:rsidRDefault="003A091A">
          <w:pPr>
            <w:pStyle w:val="af6"/>
            <w:rPr>
              <w:sz w:val="18"/>
              <w:szCs w:val="18"/>
            </w:rPr>
          </w:pPr>
        </w:p>
      </w:tc>
    </w:tr>
  </w:tbl>
  <w:p w14:paraId="759C1BE7" w14:textId="77777777" w:rsidR="003A091A" w:rsidRDefault="003A091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a"/>
      <w:tblW w:w="12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256"/>
      <w:gridCol w:w="6089"/>
    </w:tblGrid>
    <w:tr w:rsidR="003A091A" w14:paraId="2F49824B" w14:textId="77777777">
      <w:tc>
        <w:tcPr>
          <w:tcW w:w="3256" w:type="dxa"/>
        </w:tcPr>
        <w:p w14:paraId="48AA6743" w14:textId="77777777" w:rsidR="003A091A" w:rsidRDefault="00000000">
          <w:pPr>
            <w:pStyle w:val="af6"/>
          </w:pP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935" distR="114935" simplePos="0" relativeHeight="251673600" behindDoc="0" locked="0" layoutInCell="1" allowOverlap="1" wp14:anchorId="130ED4E8" wp14:editId="3B0A8726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171450</wp:posOffset>
                    </wp:positionV>
                    <wp:extent cx="1764030" cy="479425"/>
                    <wp:effectExtent l="0" t="0" r="0" b="0"/>
                    <wp:wrapSquare wrapText="bothSides"/>
                    <wp:docPr id="2" name="Рисунок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Рисунок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rcRect l="-28" t="-102" r="-28" b="-102"/>
                            <a:stretch/>
                          </pic:blipFill>
                          <pic:spPr bwMode="auto">
                            <a:xfrm>
                              <a:off x="0" y="0"/>
                              <a:ext cx="1764030" cy="479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 xmlns:a="http://schemas.openxmlformats.org/drawingml/2006/main" xmlns:w16sdtfl="http://schemas.microsoft.com/office/word/2024/wordml/sdtformatlock" xmlns:w16du="http://schemas.microsoft.com/office/word/2023/wordml/word16du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251673600;o:allowoverlap:true;o:allowincell:true;mso-position-horizontal-relative:text;margin-left:0.00pt;mso-position-horizontal:absolute;mso-position-vertical-relative:page;margin-top:13.50pt;mso-position-vertical:absolute;width:138.90pt;height:37.75pt;mso-wrap-distance-left:9.05pt;mso-wrap-distance-top:0.00pt;mso-wrap-distance-right:9.05pt;mso-wrap-distance-bottom:0.0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</w:p>
      </w:tc>
      <w:tc>
        <w:tcPr>
          <w:tcW w:w="3256" w:type="dxa"/>
        </w:tcPr>
        <w:p w14:paraId="4C4860F0" w14:textId="77777777" w:rsidR="003A091A" w:rsidRDefault="003A091A">
          <w:pPr>
            <w:pStyle w:val="af6"/>
          </w:pPr>
        </w:p>
      </w:tc>
      <w:tc>
        <w:tcPr>
          <w:tcW w:w="6089" w:type="dxa"/>
        </w:tcPr>
        <w:p w14:paraId="0FBBB633" w14:textId="77777777" w:rsidR="003A091A" w:rsidRDefault="003A091A">
          <w:pPr>
            <w:pStyle w:val="af6"/>
            <w:jc w:val="right"/>
            <w:rPr>
              <w:sz w:val="20"/>
              <w:szCs w:val="20"/>
            </w:rPr>
          </w:pPr>
        </w:p>
      </w:tc>
    </w:tr>
  </w:tbl>
  <w:p w14:paraId="321840D4" w14:textId="77777777" w:rsidR="003A091A" w:rsidRDefault="003A091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6E2"/>
    <w:multiLevelType w:val="hybridMultilevel"/>
    <w:tmpl w:val="F9D86564"/>
    <w:lvl w:ilvl="0" w:tplc="0BA4F598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</w:rPr>
    </w:lvl>
    <w:lvl w:ilvl="1" w:tplc="906C11B6">
      <w:start w:val="1"/>
      <w:numFmt w:val="lowerLetter"/>
      <w:lvlText w:val="%2."/>
      <w:lvlJc w:val="left"/>
      <w:pPr>
        <w:ind w:left="1440" w:hanging="360"/>
      </w:pPr>
    </w:lvl>
    <w:lvl w:ilvl="2" w:tplc="CB7CD0FA">
      <w:start w:val="1"/>
      <w:numFmt w:val="lowerRoman"/>
      <w:lvlText w:val="%3."/>
      <w:lvlJc w:val="right"/>
      <w:pPr>
        <w:ind w:left="2160" w:hanging="180"/>
      </w:pPr>
    </w:lvl>
    <w:lvl w:ilvl="3" w:tplc="BDBAFF3E">
      <w:start w:val="1"/>
      <w:numFmt w:val="decimal"/>
      <w:lvlText w:val="%4."/>
      <w:lvlJc w:val="left"/>
      <w:pPr>
        <w:ind w:left="2880" w:hanging="360"/>
      </w:pPr>
    </w:lvl>
    <w:lvl w:ilvl="4" w:tplc="8764784A">
      <w:start w:val="1"/>
      <w:numFmt w:val="lowerLetter"/>
      <w:lvlText w:val="%5."/>
      <w:lvlJc w:val="left"/>
      <w:pPr>
        <w:ind w:left="3600" w:hanging="360"/>
      </w:pPr>
    </w:lvl>
    <w:lvl w:ilvl="5" w:tplc="1AF698A2">
      <w:start w:val="1"/>
      <w:numFmt w:val="lowerRoman"/>
      <w:lvlText w:val="%6."/>
      <w:lvlJc w:val="right"/>
      <w:pPr>
        <w:ind w:left="4320" w:hanging="180"/>
      </w:pPr>
    </w:lvl>
    <w:lvl w:ilvl="6" w:tplc="20BE7AF8">
      <w:start w:val="1"/>
      <w:numFmt w:val="decimal"/>
      <w:lvlText w:val="%7."/>
      <w:lvlJc w:val="left"/>
      <w:pPr>
        <w:ind w:left="5040" w:hanging="360"/>
      </w:pPr>
    </w:lvl>
    <w:lvl w:ilvl="7" w:tplc="FA9E37C2">
      <w:start w:val="1"/>
      <w:numFmt w:val="lowerLetter"/>
      <w:lvlText w:val="%8."/>
      <w:lvlJc w:val="left"/>
      <w:pPr>
        <w:ind w:left="5760" w:hanging="360"/>
      </w:pPr>
    </w:lvl>
    <w:lvl w:ilvl="8" w:tplc="5CF82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41A"/>
    <w:multiLevelType w:val="hybridMultilevel"/>
    <w:tmpl w:val="5E708660"/>
    <w:lvl w:ilvl="0" w:tplc="739C9392">
      <w:start w:val="1"/>
      <w:numFmt w:val="bullet"/>
      <w:pStyle w:val="a0"/>
      <w:lvlText w:val=""/>
      <w:lvlJc w:val="left"/>
      <w:pPr>
        <w:ind w:left="1134" w:hanging="360"/>
      </w:pPr>
      <w:rPr>
        <w:rFonts w:ascii="Symbol" w:hAnsi="Symbol" w:hint="default"/>
        <w:color w:val="4C68C9"/>
      </w:rPr>
    </w:lvl>
    <w:lvl w:ilvl="1" w:tplc="C470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E8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AA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69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3AA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E0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AFB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4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55BD"/>
    <w:multiLevelType w:val="hybridMultilevel"/>
    <w:tmpl w:val="F00A40C0"/>
    <w:lvl w:ilvl="0" w:tplc="5218C080">
      <w:start w:val="1"/>
      <w:numFmt w:val="decimal"/>
      <w:pStyle w:val="2"/>
      <w:lvlText w:val="%1.1"/>
      <w:lvlJc w:val="left"/>
      <w:pPr>
        <w:ind w:left="1800" w:hanging="360"/>
      </w:pPr>
      <w:rPr>
        <w:rFonts w:hint="default"/>
      </w:rPr>
    </w:lvl>
    <w:lvl w:ilvl="1" w:tplc="9C64284C">
      <w:start w:val="1"/>
      <w:numFmt w:val="lowerLetter"/>
      <w:lvlText w:val="%2."/>
      <w:lvlJc w:val="left"/>
      <w:pPr>
        <w:ind w:left="2520" w:hanging="360"/>
      </w:pPr>
    </w:lvl>
    <w:lvl w:ilvl="2" w:tplc="5C64F546">
      <w:start w:val="1"/>
      <w:numFmt w:val="lowerRoman"/>
      <w:lvlText w:val="%3."/>
      <w:lvlJc w:val="right"/>
      <w:pPr>
        <w:ind w:left="3240" w:hanging="180"/>
      </w:pPr>
    </w:lvl>
    <w:lvl w:ilvl="3" w:tplc="FE0CC894">
      <w:start w:val="1"/>
      <w:numFmt w:val="decimal"/>
      <w:lvlText w:val="%4."/>
      <w:lvlJc w:val="left"/>
      <w:pPr>
        <w:ind w:left="3960" w:hanging="360"/>
      </w:pPr>
    </w:lvl>
    <w:lvl w:ilvl="4" w:tplc="616A82FC">
      <w:start w:val="1"/>
      <w:numFmt w:val="lowerLetter"/>
      <w:lvlText w:val="%5."/>
      <w:lvlJc w:val="left"/>
      <w:pPr>
        <w:ind w:left="4680" w:hanging="360"/>
      </w:pPr>
    </w:lvl>
    <w:lvl w:ilvl="5" w:tplc="7C042A80">
      <w:start w:val="1"/>
      <w:numFmt w:val="lowerRoman"/>
      <w:lvlText w:val="%6."/>
      <w:lvlJc w:val="right"/>
      <w:pPr>
        <w:ind w:left="5400" w:hanging="180"/>
      </w:pPr>
    </w:lvl>
    <w:lvl w:ilvl="6" w:tplc="DBB43A0C">
      <w:start w:val="1"/>
      <w:numFmt w:val="decimal"/>
      <w:lvlText w:val="%7."/>
      <w:lvlJc w:val="left"/>
      <w:pPr>
        <w:ind w:left="6120" w:hanging="360"/>
      </w:pPr>
    </w:lvl>
    <w:lvl w:ilvl="7" w:tplc="4D7AB7DA">
      <w:start w:val="1"/>
      <w:numFmt w:val="lowerLetter"/>
      <w:lvlText w:val="%8."/>
      <w:lvlJc w:val="left"/>
      <w:pPr>
        <w:ind w:left="6840" w:hanging="360"/>
      </w:pPr>
    </w:lvl>
    <w:lvl w:ilvl="8" w:tplc="9D78ACDE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BD3489"/>
    <w:multiLevelType w:val="hybridMultilevel"/>
    <w:tmpl w:val="48AC75F4"/>
    <w:lvl w:ilvl="0" w:tplc="70EC8C58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585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E7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C5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CDD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2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2C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2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7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51E89"/>
    <w:multiLevelType w:val="hybridMultilevel"/>
    <w:tmpl w:val="6E3C91E6"/>
    <w:lvl w:ilvl="0" w:tplc="963E6DB0">
      <w:start w:val="1"/>
      <w:numFmt w:val="decimal"/>
      <w:pStyle w:val="a2"/>
      <w:lvlText w:val="%1."/>
      <w:lvlJc w:val="left"/>
      <w:pPr>
        <w:ind w:left="502" w:hanging="360"/>
      </w:pPr>
      <w:rPr>
        <w:rFonts w:ascii="Open Sans SemiBold" w:hAnsi="Open Sans SemiBold" w:hint="default"/>
        <w:color w:val="4C68C9"/>
      </w:rPr>
    </w:lvl>
    <w:lvl w:ilvl="1" w:tplc="6498A09E">
      <w:start w:val="1"/>
      <w:numFmt w:val="lowerLetter"/>
      <w:lvlText w:val="%2."/>
      <w:lvlJc w:val="left"/>
      <w:pPr>
        <w:ind w:left="1440" w:hanging="360"/>
      </w:pPr>
    </w:lvl>
    <w:lvl w:ilvl="2" w:tplc="33EA0B32">
      <w:start w:val="1"/>
      <w:numFmt w:val="lowerRoman"/>
      <w:lvlText w:val="%3."/>
      <w:lvlJc w:val="right"/>
      <w:pPr>
        <w:ind w:left="2160" w:hanging="180"/>
      </w:pPr>
    </w:lvl>
    <w:lvl w:ilvl="3" w:tplc="D94A7474">
      <w:start w:val="1"/>
      <w:numFmt w:val="decimal"/>
      <w:lvlText w:val="%4."/>
      <w:lvlJc w:val="left"/>
      <w:pPr>
        <w:ind w:left="2880" w:hanging="360"/>
      </w:pPr>
    </w:lvl>
    <w:lvl w:ilvl="4" w:tplc="22EC068A">
      <w:start w:val="1"/>
      <w:numFmt w:val="lowerLetter"/>
      <w:lvlText w:val="%5."/>
      <w:lvlJc w:val="left"/>
      <w:pPr>
        <w:ind w:left="3600" w:hanging="360"/>
      </w:pPr>
    </w:lvl>
    <w:lvl w:ilvl="5" w:tplc="4FA8505A">
      <w:start w:val="1"/>
      <w:numFmt w:val="lowerRoman"/>
      <w:lvlText w:val="%6."/>
      <w:lvlJc w:val="right"/>
      <w:pPr>
        <w:ind w:left="4320" w:hanging="180"/>
      </w:pPr>
    </w:lvl>
    <w:lvl w:ilvl="6" w:tplc="FE7A1A32">
      <w:start w:val="1"/>
      <w:numFmt w:val="decimal"/>
      <w:lvlText w:val="%7."/>
      <w:lvlJc w:val="left"/>
      <w:pPr>
        <w:ind w:left="5040" w:hanging="360"/>
      </w:pPr>
    </w:lvl>
    <w:lvl w:ilvl="7" w:tplc="47422B88">
      <w:start w:val="1"/>
      <w:numFmt w:val="lowerLetter"/>
      <w:lvlText w:val="%8."/>
      <w:lvlJc w:val="left"/>
      <w:pPr>
        <w:ind w:left="5760" w:hanging="360"/>
      </w:pPr>
    </w:lvl>
    <w:lvl w:ilvl="8" w:tplc="552CEA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766E"/>
    <w:multiLevelType w:val="hybridMultilevel"/>
    <w:tmpl w:val="62EC78B4"/>
    <w:lvl w:ilvl="0" w:tplc="3300F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63EDC">
      <w:start w:val="1"/>
      <w:numFmt w:val="lowerLetter"/>
      <w:lvlText w:val="%2."/>
      <w:lvlJc w:val="left"/>
      <w:pPr>
        <w:ind w:left="1440" w:hanging="360"/>
      </w:pPr>
    </w:lvl>
    <w:lvl w:ilvl="2" w:tplc="07DC03A6">
      <w:start w:val="1"/>
      <w:numFmt w:val="lowerRoman"/>
      <w:lvlText w:val="%3."/>
      <w:lvlJc w:val="right"/>
      <w:pPr>
        <w:ind w:left="2160" w:hanging="180"/>
      </w:pPr>
    </w:lvl>
    <w:lvl w:ilvl="3" w:tplc="72B4ED9E">
      <w:start w:val="1"/>
      <w:numFmt w:val="decimal"/>
      <w:lvlText w:val="%4."/>
      <w:lvlJc w:val="left"/>
      <w:pPr>
        <w:ind w:left="2880" w:hanging="360"/>
      </w:pPr>
    </w:lvl>
    <w:lvl w:ilvl="4" w:tplc="70DE7CA2">
      <w:start w:val="1"/>
      <w:numFmt w:val="lowerLetter"/>
      <w:lvlText w:val="%5."/>
      <w:lvlJc w:val="left"/>
      <w:pPr>
        <w:ind w:left="3600" w:hanging="360"/>
      </w:pPr>
    </w:lvl>
    <w:lvl w:ilvl="5" w:tplc="C7EC41C0">
      <w:start w:val="1"/>
      <w:numFmt w:val="lowerRoman"/>
      <w:lvlText w:val="%6."/>
      <w:lvlJc w:val="right"/>
      <w:pPr>
        <w:ind w:left="4320" w:hanging="180"/>
      </w:pPr>
    </w:lvl>
    <w:lvl w:ilvl="6" w:tplc="D1A67720">
      <w:start w:val="1"/>
      <w:numFmt w:val="decimal"/>
      <w:lvlText w:val="%7."/>
      <w:lvlJc w:val="left"/>
      <w:pPr>
        <w:ind w:left="5040" w:hanging="360"/>
      </w:pPr>
    </w:lvl>
    <w:lvl w:ilvl="7" w:tplc="6E7E4B4C">
      <w:start w:val="1"/>
      <w:numFmt w:val="lowerLetter"/>
      <w:lvlText w:val="%8."/>
      <w:lvlJc w:val="left"/>
      <w:pPr>
        <w:ind w:left="5760" w:hanging="360"/>
      </w:pPr>
    </w:lvl>
    <w:lvl w:ilvl="8" w:tplc="26A611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E5AEF"/>
    <w:multiLevelType w:val="hybridMultilevel"/>
    <w:tmpl w:val="BC00ED3E"/>
    <w:lvl w:ilvl="0" w:tplc="FA8C89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A6AC1C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7C8D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538DAC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52EFA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F2497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2329F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5943A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F7E46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C9081B"/>
    <w:multiLevelType w:val="multilevel"/>
    <w:tmpl w:val="5052E122"/>
    <w:lvl w:ilvl="0">
      <w:start w:val="1"/>
      <w:numFmt w:val="decimal"/>
      <w:pStyle w:val="a3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  <w:szCs w:val="24"/>
        <w:u w:val="none"/>
      </w:rPr>
    </w:lvl>
    <w:lvl w:ilvl="1">
      <w:start w:val="1"/>
      <w:numFmt w:val="russianLower"/>
      <w:pStyle w:val="20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 Bold" w:hAnsi="Times New Roman Bold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 Bold" w:hAnsi="Times New Roman Bold" w:hint="default"/>
        <w:b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 w:val="0"/>
        <w:color w:val="auto"/>
        <w:spacing w:val="0"/>
        <w:position w:val="0"/>
        <w:sz w:val="24"/>
        <w:szCs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04"/>
        </w:tabs>
        <w:ind w:left="540" w:firstLine="720"/>
      </w:pPr>
      <w:rPr>
        <w:rFonts w:ascii="Arial" w:hAnsi="Arial" w:hint="default"/>
        <w:b w:val="0"/>
        <w:i w:val="0"/>
        <w:color w:val="auto"/>
        <w:spacing w:val="20"/>
        <w:position w:val="0"/>
        <w:sz w:val="24"/>
        <w:szCs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position w:val="0"/>
        <w:sz w:val="24"/>
        <w:szCs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position w:val="0"/>
        <w:sz w:val="22"/>
        <w:szCs w:val="22"/>
        <w:u w:val="none"/>
      </w:rPr>
    </w:lvl>
  </w:abstractNum>
  <w:num w:numId="1" w16cid:durableId="359479892">
    <w:abstractNumId w:val="3"/>
  </w:num>
  <w:num w:numId="2" w16cid:durableId="503520745">
    <w:abstractNumId w:val="2"/>
  </w:num>
  <w:num w:numId="3" w16cid:durableId="1278609942">
    <w:abstractNumId w:val="0"/>
  </w:num>
  <w:num w:numId="4" w16cid:durableId="987975032">
    <w:abstractNumId w:val="4"/>
  </w:num>
  <w:num w:numId="5" w16cid:durableId="1253663968">
    <w:abstractNumId w:val="1"/>
  </w:num>
  <w:num w:numId="6" w16cid:durableId="711031175">
    <w:abstractNumId w:val="7"/>
  </w:num>
  <w:num w:numId="7" w16cid:durableId="1255673572">
    <w:abstractNumId w:val="6"/>
  </w:num>
  <w:num w:numId="8" w16cid:durableId="761947436">
    <w:abstractNumId w:val="5"/>
  </w:num>
  <w:num w:numId="9" w16cid:durableId="50614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1A"/>
    <w:rsid w:val="00005423"/>
    <w:rsid w:val="000D0BB6"/>
    <w:rsid w:val="002A7CFA"/>
    <w:rsid w:val="00351967"/>
    <w:rsid w:val="00385BA2"/>
    <w:rsid w:val="003A091A"/>
    <w:rsid w:val="00514317"/>
    <w:rsid w:val="006629AD"/>
    <w:rsid w:val="00666009"/>
    <w:rsid w:val="006D192A"/>
    <w:rsid w:val="00850777"/>
    <w:rsid w:val="00903A86"/>
    <w:rsid w:val="00926372"/>
    <w:rsid w:val="00975F33"/>
    <w:rsid w:val="00A20983"/>
    <w:rsid w:val="00A86E68"/>
    <w:rsid w:val="00F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462C"/>
  <w15:docId w15:val="{B9B18F70-9D57-4EC1-9500-545E7200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next w:val="a4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C68C9"/>
      <w:sz w:val="36"/>
      <w:szCs w:val="32"/>
    </w:rPr>
  </w:style>
  <w:style w:type="paragraph" w:styleId="2">
    <w:name w:val="heading 2"/>
    <w:next w:val="a4"/>
    <w:link w:val="21"/>
    <w:uiPriority w:val="9"/>
    <w:unhideWhenUsed/>
    <w:qFormat/>
    <w:pPr>
      <w:numPr>
        <w:numId w:val="2"/>
      </w:numPr>
      <w:spacing w:before="480" w:after="480" w:line="276" w:lineRule="auto"/>
      <w:contextualSpacing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pPr>
      <w:keepNext/>
      <w:keepLines/>
      <w:spacing w:before="480" w:after="48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4"/>
    <w:next w:val="a4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4"/>
    <w:next w:val="a4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4"/>
    <w:next w:val="a4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paragraph" w:styleId="a8">
    <w:name w:val="Subtitle"/>
    <w:basedOn w:val="a4"/>
    <w:next w:val="a4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5"/>
    <w:link w:val="a8"/>
    <w:uiPriority w:val="11"/>
    <w:rPr>
      <w:sz w:val="24"/>
      <w:szCs w:val="24"/>
    </w:rPr>
  </w:style>
  <w:style w:type="paragraph" w:styleId="22">
    <w:name w:val="Quote"/>
    <w:basedOn w:val="a4"/>
    <w:next w:val="a4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4"/>
    <w:next w:val="a4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c">
    <w:name w:val="caption"/>
    <w:basedOn w:val="a4"/>
    <w:next w:val="a4"/>
    <w:link w:val="a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4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5"/>
    <w:uiPriority w:val="99"/>
    <w:semiHidden/>
    <w:unhideWhenUsed/>
    <w:rPr>
      <w:vertAlign w:val="superscript"/>
    </w:rPr>
  </w:style>
  <w:style w:type="paragraph" w:styleId="42">
    <w:name w:val="toc 4"/>
    <w:basedOn w:val="a4"/>
    <w:next w:val="a4"/>
    <w:uiPriority w:val="39"/>
    <w:unhideWhenUsed/>
    <w:pPr>
      <w:spacing w:after="57"/>
      <w:ind w:left="850"/>
    </w:pPr>
  </w:style>
  <w:style w:type="paragraph" w:styleId="52">
    <w:name w:val="toc 5"/>
    <w:basedOn w:val="a4"/>
    <w:next w:val="a4"/>
    <w:uiPriority w:val="39"/>
    <w:unhideWhenUsed/>
    <w:pPr>
      <w:spacing w:after="57"/>
      <w:ind w:left="1134"/>
    </w:pPr>
  </w:style>
  <w:style w:type="paragraph" w:styleId="61">
    <w:name w:val="toc 6"/>
    <w:basedOn w:val="a4"/>
    <w:next w:val="a4"/>
    <w:uiPriority w:val="39"/>
    <w:unhideWhenUsed/>
    <w:pPr>
      <w:spacing w:after="57"/>
      <w:ind w:left="1417"/>
    </w:pPr>
  </w:style>
  <w:style w:type="paragraph" w:styleId="71">
    <w:name w:val="toc 7"/>
    <w:basedOn w:val="a4"/>
    <w:next w:val="a4"/>
    <w:uiPriority w:val="39"/>
    <w:unhideWhenUsed/>
    <w:pPr>
      <w:spacing w:after="57"/>
      <w:ind w:left="1701"/>
    </w:pPr>
  </w:style>
  <w:style w:type="paragraph" w:styleId="81">
    <w:name w:val="toc 8"/>
    <w:basedOn w:val="a4"/>
    <w:next w:val="a4"/>
    <w:uiPriority w:val="39"/>
    <w:unhideWhenUsed/>
    <w:pPr>
      <w:spacing w:after="57"/>
      <w:ind w:left="1984"/>
    </w:pPr>
  </w:style>
  <w:style w:type="paragraph" w:styleId="91">
    <w:name w:val="toc 9"/>
    <w:basedOn w:val="a4"/>
    <w:next w:val="a4"/>
    <w:uiPriority w:val="39"/>
    <w:unhideWhenUsed/>
    <w:pPr>
      <w:spacing w:after="57"/>
      <w:ind w:left="2268"/>
    </w:pPr>
  </w:style>
  <w:style w:type="paragraph" w:styleId="af1">
    <w:name w:val="table of figures"/>
    <w:basedOn w:val="a4"/>
    <w:next w:val="a4"/>
    <w:uiPriority w:val="99"/>
    <w:unhideWhenUsed/>
  </w:style>
  <w:style w:type="paragraph" w:styleId="af2">
    <w:name w:val="Title"/>
    <w:basedOn w:val="a4"/>
    <w:next w:val="a4"/>
    <w:link w:val="af3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5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5"/>
    <w:link w:val="af4"/>
    <w:uiPriority w:val="1"/>
    <w:rPr>
      <w:rFonts w:eastAsiaTheme="minorEastAsia"/>
      <w:lang w:eastAsia="ru-RU"/>
    </w:rPr>
  </w:style>
  <w:style w:type="paragraph" w:styleId="af6">
    <w:name w:val="header"/>
    <w:basedOn w:val="a4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5"/>
    <w:link w:val="af6"/>
    <w:uiPriority w:val="99"/>
  </w:style>
  <w:style w:type="paragraph" w:styleId="af8">
    <w:name w:val="footer"/>
    <w:basedOn w:val="a4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5"/>
    <w:link w:val="af8"/>
    <w:uiPriority w:val="99"/>
  </w:style>
  <w:style w:type="table" w:styleId="afa">
    <w:name w:val="Table Grid"/>
    <w:basedOn w:val="a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5"/>
    <w:link w:val="1"/>
    <w:uiPriority w:val="9"/>
    <w:rPr>
      <w:rFonts w:asciiTheme="majorHAnsi" w:eastAsiaTheme="majorEastAsia" w:hAnsiTheme="majorHAnsi" w:cstheme="majorBidi"/>
      <w:color w:val="4C68C9"/>
      <w:sz w:val="36"/>
      <w:szCs w:val="32"/>
    </w:rPr>
  </w:style>
  <w:style w:type="paragraph" w:styleId="afb">
    <w:name w:val="TOC Heading"/>
    <w:basedOn w:val="1"/>
    <w:next w:val="a4"/>
    <w:uiPriority w:val="39"/>
    <w:unhideWhenUsed/>
    <w:qFormat/>
    <w:pPr>
      <w:outlineLvl w:val="9"/>
    </w:pPr>
  </w:style>
  <w:style w:type="character" w:customStyle="1" w:styleId="21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6"/>
    </w:rPr>
  </w:style>
  <w:style w:type="character" w:styleId="afc">
    <w:name w:val="Intense Emphasis"/>
    <w:basedOn w:val="a5"/>
    <w:uiPriority w:val="21"/>
    <w:qFormat/>
    <w:rPr>
      <w:i/>
      <w:iCs/>
      <w:color w:val="0845CD"/>
    </w:rPr>
  </w:style>
  <w:style w:type="paragraph" w:styleId="a">
    <w:name w:val="List Paragraph"/>
    <w:basedOn w:val="a4"/>
    <w:link w:val="afd"/>
    <w:uiPriority w:val="34"/>
    <w:qFormat/>
    <w:pPr>
      <w:numPr>
        <w:numId w:val="3"/>
      </w:numPr>
      <w:spacing w:after="240"/>
    </w:pPr>
  </w:style>
  <w:style w:type="paragraph" w:styleId="12">
    <w:name w:val="toc 1"/>
    <w:basedOn w:val="a4"/>
    <w:next w:val="a4"/>
    <w:uiPriority w:val="39"/>
    <w:unhideWhenUsed/>
    <w:pPr>
      <w:spacing w:after="100"/>
    </w:pPr>
  </w:style>
  <w:style w:type="character" w:styleId="afe">
    <w:name w:val="Hyperlink"/>
    <w:basedOn w:val="a5"/>
    <w:uiPriority w:val="99"/>
    <w:unhideWhenUsed/>
    <w:rPr>
      <w:rFonts w:asciiTheme="majorHAnsi" w:hAnsiTheme="majorHAnsi"/>
      <w:color w:val="auto"/>
      <w:sz w:val="20"/>
      <w:u w:val="none"/>
    </w:rPr>
  </w:style>
  <w:style w:type="character" w:customStyle="1" w:styleId="30">
    <w:name w:val="Заголовок 3 Знак"/>
    <w:basedOn w:val="a5"/>
    <w:link w:val="3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25">
    <w:name w:val="toc 2"/>
    <w:basedOn w:val="a4"/>
    <w:next w:val="a4"/>
    <w:uiPriority w:val="39"/>
    <w:unhideWhenUsed/>
    <w:pPr>
      <w:tabs>
        <w:tab w:val="right" w:leader="dot" w:pos="9345"/>
      </w:tabs>
      <w:spacing w:after="100"/>
      <w:ind w:left="440"/>
    </w:pPr>
  </w:style>
  <w:style w:type="paragraph" w:styleId="32">
    <w:name w:val="toc 3"/>
    <w:basedOn w:val="a4"/>
    <w:next w:val="a4"/>
    <w:uiPriority w:val="39"/>
    <w:unhideWhenUsed/>
    <w:pPr>
      <w:spacing w:after="100"/>
      <w:ind w:left="440"/>
    </w:pPr>
  </w:style>
  <w:style w:type="character" w:styleId="aff">
    <w:name w:val="Unresolved Mention"/>
    <w:basedOn w:val="a5"/>
    <w:uiPriority w:val="99"/>
    <w:semiHidden/>
    <w:unhideWhenUsed/>
    <w:rPr>
      <w:color w:val="605E5C"/>
      <w:shd w:val="clear" w:color="auto" w:fill="E1DFDD"/>
    </w:rPr>
  </w:style>
  <w:style w:type="paragraph" w:customStyle="1" w:styleId="a1">
    <w:name w:val="Маркированный точкой"/>
    <w:basedOn w:val="a"/>
    <w:link w:val="aff0"/>
    <w:pPr>
      <w:numPr>
        <w:numId w:val="1"/>
      </w:numPr>
      <w:ind w:left="1135" w:hanging="284"/>
    </w:pPr>
  </w:style>
  <w:style w:type="paragraph" w:styleId="aff1">
    <w:name w:val="footnote text"/>
    <w:basedOn w:val="a4"/>
    <w:link w:val="aff2"/>
    <w:uiPriority w:val="99"/>
    <w:semiHidden/>
    <w:unhideWhenUsed/>
    <w:rPr>
      <w:sz w:val="20"/>
      <w:szCs w:val="20"/>
    </w:rPr>
  </w:style>
  <w:style w:type="character" w:customStyle="1" w:styleId="afd">
    <w:name w:val="Абзац списка Знак"/>
    <w:basedOn w:val="a5"/>
    <w:link w:val="a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Маркированный точкой Знак"/>
    <w:basedOn w:val="afd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Текст сноски Знак"/>
    <w:basedOn w:val="a5"/>
    <w:link w:val="aff1"/>
    <w:uiPriority w:val="99"/>
    <w:semiHidden/>
    <w:rPr>
      <w:color w:val="404040" w:themeColor="text1" w:themeTint="BF"/>
      <w:sz w:val="20"/>
      <w:szCs w:val="20"/>
    </w:rPr>
  </w:style>
  <w:style w:type="character" w:styleId="aff3">
    <w:name w:val="footnote reference"/>
    <w:basedOn w:val="a5"/>
    <w:uiPriority w:val="99"/>
    <w:unhideWhenUsed/>
    <w:rPr>
      <w:vertAlign w:val="superscript"/>
    </w:rPr>
  </w:style>
  <w:style w:type="paragraph" w:customStyle="1" w:styleId="a2">
    <w:name w:val="Нумерованный писок"/>
    <w:basedOn w:val="a"/>
    <w:next w:val="a4"/>
    <w:link w:val="aff4"/>
    <w:qFormat/>
    <w:pPr>
      <w:numPr>
        <w:numId w:val="4"/>
      </w:numPr>
    </w:pPr>
    <w:rPr>
      <w:rFonts w:ascii="Open Sans" w:eastAsia="Arial" w:hAnsi="Open Sans" w:cs="Open Sans"/>
      <w:color w:val="262626" w:themeColor="text1" w:themeTint="D9"/>
      <w:sz w:val="22"/>
    </w:rPr>
  </w:style>
  <w:style w:type="paragraph" w:customStyle="1" w:styleId="a0">
    <w:name w:val="Маркированный"/>
    <w:basedOn w:val="a2"/>
    <w:link w:val="aff5"/>
    <w:qFormat/>
    <w:pPr>
      <w:numPr>
        <w:numId w:val="5"/>
      </w:numPr>
    </w:pPr>
  </w:style>
  <w:style w:type="character" w:customStyle="1" w:styleId="40">
    <w:name w:val="Заголовок 4 Знак"/>
    <w:basedOn w:val="a5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aff4">
    <w:name w:val="Нумерованный писок Знак"/>
    <w:basedOn w:val="afd"/>
    <w:link w:val="a2"/>
    <w:rPr>
      <w:rFonts w:ascii="Open Sans" w:eastAsia="Arial" w:hAnsi="Open Sans" w:cs="Open Sans"/>
      <w:color w:val="262626" w:themeColor="text1" w:themeTint="D9"/>
      <w:sz w:val="24"/>
      <w:szCs w:val="24"/>
      <w:lang w:eastAsia="ru-RU"/>
    </w:rPr>
  </w:style>
  <w:style w:type="character" w:customStyle="1" w:styleId="aff5">
    <w:name w:val="Маркированный Знак"/>
    <w:basedOn w:val="aff4"/>
    <w:link w:val="a0"/>
    <w:rPr>
      <w:rFonts w:ascii="Open Sans" w:eastAsia="Arial" w:hAnsi="Open Sans" w:cs="Open Sans"/>
      <w:color w:val="262626" w:themeColor="text1" w:themeTint="D9"/>
      <w:sz w:val="24"/>
      <w:szCs w:val="24"/>
      <w:lang w:eastAsia="ru-RU"/>
    </w:rPr>
  </w:style>
  <w:style w:type="character" w:customStyle="1" w:styleId="aff6">
    <w:name w:val="Заголовок таблицы"/>
    <w:basedOn w:val="a5"/>
    <w:uiPriority w:val="1"/>
    <w:qFormat/>
    <w:rPr>
      <w:rFonts w:asciiTheme="majorHAnsi" w:hAnsiTheme="majorHAnsi"/>
      <w:b w:val="0"/>
      <w:bCs/>
      <w:sz w:val="22"/>
      <w:szCs w:val="20"/>
    </w:rPr>
  </w:style>
  <w:style w:type="paragraph" w:styleId="a3">
    <w:name w:val="List Number"/>
    <w:pPr>
      <w:numPr>
        <w:numId w:val="6"/>
      </w:numPr>
      <w:spacing w:after="0" w:line="288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umentName">
    <w:name w:val="Document Name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20">
    <w:name w:val="List Number 2"/>
    <w:basedOn w:val="a3"/>
    <w:pPr>
      <w:keepLines/>
      <w:numPr>
        <w:ilvl w:val="1"/>
      </w:numPr>
    </w:pPr>
  </w:style>
  <w:style w:type="paragraph" w:customStyle="1" w:styleId="TableText">
    <w:name w:val="Table Text"/>
    <w:semiHidden/>
    <w:pPr>
      <w:keepLines/>
      <w:spacing w:before="40" w:after="40" w:line="288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aff7">
    <w:name w:val="Normal (Web)"/>
    <w:basedOn w:val="a4"/>
    <w:uiPriority w:val="99"/>
    <w:unhideWhenUsed/>
    <w:pPr>
      <w:spacing w:before="100" w:beforeAutospacing="1" w:after="100" w:afterAutospacing="1"/>
    </w:pPr>
  </w:style>
  <w:style w:type="paragraph" w:customStyle="1" w:styleId="docdata">
    <w:name w:val="docdata"/>
    <w:basedOn w:val="a4"/>
    <w:pPr>
      <w:spacing w:before="100" w:beforeAutospacing="1" w:after="100" w:afterAutospacing="1"/>
    </w:pPr>
  </w:style>
  <w:style w:type="character" w:customStyle="1" w:styleId="1824">
    <w:name w:val="1824"/>
    <w:basedOn w:val="a5"/>
  </w:style>
  <w:style w:type="paragraph" w:styleId="aff8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annotation reference"/>
    <w:basedOn w:val="a5"/>
    <w:uiPriority w:val="99"/>
    <w:semiHidden/>
    <w:unhideWhenUsed/>
    <w:rPr>
      <w:sz w:val="16"/>
      <w:szCs w:val="16"/>
    </w:rPr>
  </w:style>
  <w:style w:type="paragraph" w:styleId="affa">
    <w:name w:val="annotation text"/>
    <w:basedOn w:val="a4"/>
    <w:link w:val="affb"/>
    <w:uiPriority w:val="99"/>
    <w:semiHidden/>
    <w:unhideWhenUsed/>
    <w:rPr>
      <w:sz w:val="20"/>
      <w:szCs w:val="20"/>
    </w:rPr>
  </w:style>
  <w:style w:type="character" w:customStyle="1" w:styleId="affb">
    <w:name w:val="Текст примечания Знак"/>
    <w:basedOn w:val="a5"/>
    <w:link w:val="af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767">
    <w:name w:val="3767"/>
    <w:basedOn w:val="a5"/>
  </w:style>
  <w:style w:type="character" w:styleId="affe">
    <w:name w:val="FollowedHyperlink"/>
    <w:basedOn w:val="a5"/>
    <w:uiPriority w:val="99"/>
    <w:semiHidden/>
    <w:unhideWhenUsed/>
    <w:rPr>
      <w:color w:val="954F72" w:themeColor="followedHyperlink"/>
      <w:u w:val="single"/>
    </w:rPr>
  </w:style>
  <w:style w:type="character" w:styleId="afff">
    <w:name w:val="Strong"/>
    <w:basedOn w:val="a5"/>
    <w:uiPriority w:val="22"/>
    <w:qFormat/>
    <w:rsid w:val="00F76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ppsec.glob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9">
      <a:majorFont>
        <a:latin typeface="Open Sans Semibold"/>
        <a:ea typeface="Arial"/>
        <a:cs typeface="Arial"/>
      </a:majorFont>
      <a:minorFont>
        <a:latin typeface="Open San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2A42-849A-4CD3-8F9B-733304C3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на ПРограммное  обеспечение «_______________»</dc:title>
  <dc:subject>Технико-коммерческое предложение для Наименование Заказчика</dc:subject>
  <dc:creator>Andrey Krasovskiy</dc:creator>
  <cp:keywords/>
  <dc:description/>
  <cp:lastModifiedBy>Microsoft Office User</cp:lastModifiedBy>
  <cp:revision>13</cp:revision>
  <dcterms:created xsi:type="dcterms:W3CDTF">2025-05-29T13:28:00Z</dcterms:created>
  <dcterms:modified xsi:type="dcterms:W3CDTF">2025-05-29T13:51:00Z</dcterms:modified>
</cp:coreProperties>
</file>